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End w:id="73"/>
    <w:bookmarkEnd w:id="7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0">
    <w:p>
      <w:pPr>
        <w:pStyle w:val="FootnoteText"/>
        <w:bidi/>
      </w:pPr>
      <w:r>
        <w:rPr>
          <w:rStyle w:val="FootnoteReference"/>
        </w:rPr>
        <w:footnoteRef/>
      </w:r>
      <w:r>
        <w:rPr>
          <w:rtl/>
        </w:rPr>
        <w:t xml:space="preserve"> </w:t>
      </w:r>
      <w:r>
        <w:rPr>
          <w:rtl/>
        </w:rPr>
        <w:t xml:space="preserve">نشریه کار، شماره ۱۴۰، ص ۱۲، دوم دی ماه ۱۳۶۰ </w:t>
      </w:r>
    </w:p>
  </w:footnote>
  <w:footnote w:id="11">
    <w:p>
      <w:pPr>
        <w:pStyle w:val="FootnoteText"/>
        <w:bidi/>
      </w:pPr>
      <w:r>
        <w:rPr>
          <w:rStyle w:val="FootnoteReference"/>
        </w:rPr>
        <w:footnoteRef/>
      </w:r>
      <w:r>
        <w:rPr>
          <w:rtl/>
        </w:rPr>
        <w:t xml:space="preserve"> </w:t>
      </w:r>
      <w:r>
        <w:rPr>
          <w:rtl/>
        </w:rPr>
        <w:t xml:space="preserve">نشریه کار، شمارهٔ ۱۴۳، صفحه۱۷، ۲۳ دی ماه ۱۳۶۰ </w:t>
      </w:r>
    </w:p>
  </w:footnote>
  <w:footnote w:id="12">
    <w:p>
      <w:pPr>
        <w:pStyle w:val="FootnoteText"/>
        <w:bidi/>
      </w:pPr>
      <w:r>
        <w:rPr>
          <w:rStyle w:val="FootnoteReference"/>
        </w:rPr>
        <w:footnoteRef/>
      </w:r>
      <w:r>
        <w:rPr>
          <w:rtl/>
        </w:rPr>
        <w:t xml:space="preserve"> </w:t>
      </w:r>
      <w:r>
        <w:rPr>
          <w:rtl/>
        </w:rPr>
        <w:t xml:space="preserve">ما بعداً خواهیم دید که «اقلیت» با چه شور و شوقی اتخاذ این تاکتیک را به مجاهدین تبریک می‌گفت. </w:t>
      </w:r>
    </w:p>
  </w:footnote>
  <w:footnote w:id="13">
    <w:p>
      <w:pPr>
        <w:pStyle w:val="FootnoteText"/>
        <w:bidi/>
      </w:pPr>
      <w:r>
        <w:rPr>
          <w:rStyle w:val="FootnoteReference"/>
        </w:rPr>
        <w:footnoteRef/>
      </w:r>
      <w:r>
        <w:rPr>
          <w:rtl/>
        </w:rPr>
        <w:t xml:space="preserve"> </w:t>
      </w:r>
      <w:r>
        <w:rPr>
          <w:rtl/>
        </w:rPr>
        <w:t xml:space="preserve">نشریه کار، ص ۱۲۲، ۲۱ مرداد ۱۳۶۰ </w:t>
      </w:r>
    </w:p>
  </w:footnote>
  <w:footnote w:id="14">
    <w:p>
      <w:pPr>
        <w:pStyle w:val="FootnoteText"/>
        <w:bidi/>
      </w:pPr>
      <w:r>
        <w:rPr>
          <w:rStyle w:val="FootnoteReference"/>
        </w:rPr>
        <w:footnoteRef/>
      </w:r>
      <w:r>
        <w:rPr>
          <w:rtl/>
        </w:rPr>
        <w:t xml:space="preserve"> </w:t>
      </w:r>
      <w:r>
        <w:rPr>
          <w:rtl/>
        </w:rPr>
        <w:t xml:space="preserve">البتّه رشد پاسیفیسم در میان اعضاء و هواداران سازمان‌های سیاسیِ اپوزیسیون هنگام برقراری ی اختناق و سرکوبِ بی‌سابقه، پس از یک دوران‌ِ فراهم بودن نسبیِ شرایط کارِ علنی، امری طبیعی است. ولی طبیعی بودن این امر ما را از بررسی اشکال مشخص پیدایش و بسط پاسیفیسم بی‌نیاز نمی‌کند. امروز مخصوصاً ما با شکلی از پاسیفیسم روبرو هستیم که توسط اعضاء و یا هواداران نزدیک سابق سازمانها به شکلی موذیانه و ماهرانه دامن زده می‌شود. اینها مقامی را که زمانی در این سازمانها داشتند و یا مقاله‌ای را که نوشته‌اند و یا اطلاعاتی را که بدلیل حضور در این سازمانها در اختیارشان قرار‌گرفته سرمایه کاسبکاری کثیف خود قرار دادند. اغلب اینها پس از آنکه خود را بجای امنی رساندند از چپ یا راست به انتقاد از سازمان سابق خود می‌پردازند و چه با تماس خصوصی با این یا آن عضو یا هوادار و چه از طریق انتشار نشریات سعی می‌کنند آنها را با خود هم نظر کنند. از آنجائی که البتّه پاره‌ای از این انتقادات با واقعیت نیز تطبیق می‌کند، هستند هوادارانی که با قبول این حرفها از سازمان خود می‌بُرند. امّا چون این کاسبکاران، و منتقدین مصلحتی، خود برنامه و تشکیلاتی برای مبارزه ندارند، کسی که فریفته استدلالات آنها می‌شود جز پاسیو شدن چاره دیگری ندارد. البتّه اپورتونیسم‌ِ اغلب سازمانهای سیاسی نیز که در کمال حقارت، ضرر سازمان‌های دیگر را منفعت خود حساب می‌کنند، به کسب و کار این افراد که در آغاز هر چه بوده‌اند حالا جز شارلاتانهائی بیش نیستند که در پی عنوانی و اعتباری و احیاناً زندگی آرامی هستند، رونقی می‌بخشد. هر بار که کسی از درون یک سازمان بیرون میآید و به انتقاد از آن می‌پردازد، سازمان دیگری در کمال فرصت طلبی بلندگویش را جلوی دهان او می‌گیرد و به این ترتیب است که این افرادی که اغلب خود به نحوی در تمام تصمیم گیریها و یا تبلیغات سازمان سابق خود دست داشته‌اند با انتقاد از سازمان دست خود را می‌شویند و بظاهر با اعتبار و حیثیت و گاه تابلوئی به همه جا می‌روند و پاسیفیسم را تبلیغ می‌کنند. بله، اینها که گاه حتّی با پخش اسرار سازمانی در محافل خود تا حدّ خیانت به جنبش خلق پیش می‌روند، بجای طرد از جنبش به این ترتیب تقدیس می‌شوند و مورد احترام قرار می‌گیرند. </w:t>
      </w:r>
    </w:p>
  </w:footnote>
  <w:footnote w:id="15">
    <w:p>
      <w:pPr>
        <w:pStyle w:val="FootnoteText"/>
        <w:bidi/>
      </w:pPr>
      <w:r>
        <w:rPr>
          <w:rStyle w:val="FootnoteReference"/>
        </w:rPr>
        <w:footnoteRef/>
      </w:r>
      <w:r>
        <w:rPr>
          <w:rtl/>
        </w:rPr>
        <w:t xml:space="preserve"> </w:t>
      </w:r>
      <w:r>
        <w:rPr>
          <w:rtl/>
        </w:rPr>
        <w:t xml:space="preserve">هر چند که قول میداد «شعار مجلس مؤسسان» را بعداً به شکل مناسبش طرح کند. نشریه کار شماره ۱۴۴، ص ۲، دی ماه۱۳۶۰ </w:t>
      </w:r>
    </w:p>
  </w:footnote>
  <w:footnote w:id="16">
    <w:p>
      <w:pPr>
        <w:pStyle w:val="FootnoteText"/>
        <w:bidi/>
      </w:pPr>
      <w:r>
        <w:rPr>
          <w:rStyle w:val="FootnoteReference"/>
        </w:rPr>
        <w:footnoteRef/>
      </w:r>
      <w:r>
        <w:rPr>
          <w:rtl/>
        </w:rPr>
        <w:t xml:space="preserve"> </w:t>
      </w:r>
      <w:r>
        <w:rPr>
          <w:rtl/>
        </w:rPr>
        <w:t xml:space="preserve">نشریه کار، شماره ۱۵۸، ۴ آبان ۱۳۶۱ </w:t>
      </w:r>
    </w:p>
  </w:footnote>
  <w:footnote w:id="18">
    <w:p>
      <w:pPr>
        <w:pStyle w:val="FootnoteText"/>
        <w:bidi/>
      </w:pPr>
      <w:r>
        <w:rPr>
          <w:rStyle w:val="FootnoteReference"/>
        </w:rPr>
        <w:footnoteRef/>
      </w:r>
      <w:r>
        <w:rPr>
          <w:rtl/>
        </w:rPr>
        <w:t xml:space="preserve"> </w:t>
      </w:r>
      <w:r>
        <w:rPr>
          <w:rtl/>
        </w:rPr>
        <w:t xml:space="preserve">اکنون «اقلیت» کتابی را منتشر کرده زیر عنوان دیکتاتوری و تبلیغ مسلّحانه (قهر) که تاریخ نوشتن آن به قبل از انشعاب «اقلیت» از «اکثریت» مربوط می‌شود. نگاهی سطحی به این کتاب نشان می‌دهد که چرا «اکثریتی‌ها» با آن اصرار با این نقطه ضعف رفقای «اقلیتی»شان بازی می‌کردند. در قسمت بزرگی از کتاب، نظرات رفیق مسعود احمدزاده به کمک نظرات رفیق جزنی ردّ می‌شود و سرانجام در چند صفحه آخر اساس نظرات رفیق جزنی نیز اشتباه خوانده می‌شود و درک ابلهانه‌ای از «تبلیغ مسلّحانه» بعنوان تاکتیک درست ارائه می‌شود که البتّه جز در ذهن نویسنده، مابه ازاء خارجی ندارد. نویسنده، درک ابلهانه خود را از تبلیغ مسلّحانه تا آن جا بسط می‌دهد که مبارزه مسلّحانه را در کوبا بعنوان تبلیغ مسلّحانه جهت قیام ارزیابی می‌کند. </w:t>
      </w:r>
    </w:p>
  </w:footnote>
  <w:footnote w:id="19">
    <w:p>
      <w:pPr>
        <w:pStyle w:val="FootnoteText"/>
        <w:bidi/>
      </w:pPr>
      <w:r>
        <w:rPr>
          <w:rStyle w:val="FootnoteReference"/>
        </w:rPr>
        <w:footnoteRef/>
      </w:r>
      <w:r>
        <w:rPr>
          <w:rtl/>
        </w:rPr>
        <w:t xml:space="preserve"> </w:t>
      </w:r>
      <w:r>
        <w:rPr>
          <w:rtl/>
        </w:rPr>
        <w:t xml:space="preserve">نشریه کار، شمارهٔ۶۱، ص ۵، ۱۳ خرداد ۱۳۵۹ </w:t>
      </w:r>
    </w:p>
  </w:footnote>
  <w:footnote w:id="20">
    <w:p>
      <w:pPr>
        <w:pStyle w:val="FootnoteText"/>
        <w:bidi/>
      </w:pPr>
      <w:r>
        <w:rPr>
          <w:rStyle w:val="FootnoteReference"/>
        </w:rPr>
        <w:footnoteRef/>
      </w:r>
      <w:r>
        <w:rPr>
          <w:rtl/>
        </w:rPr>
        <w:t xml:space="preserve"> </w:t>
      </w:r>
      <w:r>
        <w:rPr>
          <w:rtl/>
        </w:rPr>
        <w:t xml:space="preserve">نبرد خلق، دوره جدید، شماره ۱، ص ۹۱، تیر ماه ۱۳۵ </w:t>
      </w:r>
    </w:p>
  </w:footnote>
  <w:footnote w:id="21">
    <w:p>
      <w:pPr>
        <w:pStyle w:val="FootnoteText"/>
        <w:bidi/>
      </w:pPr>
      <w:r>
        <w:rPr>
          <w:rStyle w:val="FootnoteReference"/>
        </w:rPr>
        <w:footnoteRef/>
      </w:r>
      <w:r>
        <w:rPr>
          <w:rtl/>
        </w:rPr>
        <w:t xml:space="preserve"> </w:t>
      </w:r>
      <w:r>
        <w:rPr>
          <w:rtl/>
        </w:rPr>
        <w:t xml:space="preserve">ما در این جا با «اقلیت» وارد این بحث نمی‌شویم که اصولاً درایران قسمت عمدۀ سرمایه گذاریها از طریق دولت انجام می‌گیرد و استثمار امپریالیستی اساساً با واسطه دستگاه دولتی انجام می‌شود و پیاده کردن معیار متوسط و بزرگ در این زمینه بکلی غیر ممکن است. </w:t>
      </w:r>
    </w:p>
  </w:footnote>
  <w:footnote w:id="22">
    <w:p>
      <w:pPr>
        <w:pStyle w:val="FootnoteText"/>
        <w:bidi/>
      </w:pPr>
      <w:r>
        <w:rPr>
          <w:rStyle w:val="FootnoteReference"/>
        </w:rPr>
        <w:footnoteRef/>
      </w:r>
      <w:r>
        <w:rPr>
          <w:rtl/>
        </w:rPr>
        <w:t xml:space="preserve"> </w:t>
      </w:r>
      <w:r>
        <w:rPr>
          <w:rtl/>
        </w:rPr>
        <w:t xml:space="preserve">نبرد خلق، دوره جدید، شماره ۱، ص ۷۱، تیرماه ۱۳۵۹ </w:t>
      </w:r>
    </w:p>
  </w:footnote>
  <w:footnote w:id="23">
    <w:p>
      <w:pPr>
        <w:pStyle w:val="FootnoteText"/>
        <w:bidi/>
      </w:pPr>
      <w:r>
        <w:rPr>
          <w:rStyle w:val="FootnoteReference"/>
        </w:rPr>
        <w:footnoteRef/>
      </w:r>
      <w:r>
        <w:rPr>
          <w:rtl/>
        </w:rPr>
        <w:t xml:space="preserve"> </w:t>
      </w:r>
      <w:r>
        <w:rPr>
          <w:rtl/>
        </w:rPr>
        <w:t xml:space="preserve">درنشریه کار، شماره ۱۲۴، شهریور ۱۳۶۰ می‌خوانیم: «اکنون قدرت سیاسی در دست یک قشر محدود قرار گرفته است که نه تنها تمامی اقشار و طبقاتی را که در تولید و زندگی معنوی جامعه نقش دارند کنار گذاشته است و با آنها در ستیز قرار گرفته است بلکه آن اقشار، بورژوازی، بویژه بورژوازی صنعتی را که قادر است تحت شرایطی بحران را مهار کند از حاکمیت کنار گذاشته و بورژوازی صنعتی با بورژوازی تجاری حاکم در تضادی شدید قرار گرفته است». البتّه اینگونه دست‌کاریها بیشتر جنبه موضعی دارد و اغلب از طرف خود «اقلیت» هم در آثاربعدی تعقیب نمی‌شود. </w:t>
      </w:r>
    </w:p>
  </w:footnote>
  <w:footnote w:id="24">
    <w:p>
      <w:pPr>
        <w:pStyle w:val="FootnoteText"/>
        <w:bidi/>
      </w:pPr>
      <w:r>
        <w:rPr>
          <w:rStyle w:val="FootnoteReference"/>
        </w:rPr>
        <w:footnoteRef/>
      </w:r>
      <w:r>
        <w:rPr>
          <w:rtl/>
        </w:rPr>
        <w:t xml:space="preserve"> </w:t>
      </w:r>
      <w:r>
        <w:rPr>
          <w:rtl/>
        </w:rPr>
        <w:t xml:space="preserve">این اصطلاح را «اقلیت» بعدها بکار میبرد. درآغاز فقط از حرف‌هایش می‌شود آن را استنباط کرد. </w:t>
      </w:r>
    </w:p>
  </w:footnote>
  <w:footnote w:id="25">
    <w:p>
      <w:pPr>
        <w:pStyle w:val="FootnoteText"/>
        <w:bidi/>
      </w:pPr>
      <w:r>
        <w:rPr>
          <w:rStyle w:val="FootnoteReference"/>
        </w:rPr>
        <w:footnoteRef/>
      </w:r>
      <w:r>
        <w:rPr>
          <w:rtl/>
        </w:rPr>
        <w:t xml:space="preserve"> </w:t>
      </w:r>
      <w:r>
        <w:rPr>
          <w:rtl/>
        </w:rPr>
        <w:t xml:space="preserve">حتّی در ۳ تیر ماه ۶۰ «اقلیت» در فوق العاده خبری خود می‌نویسد: «هدف از اعمال جنایت‌کارانه و ضدّ خلقیِ ارعاب مردم…، تثبیت موقعیت هیأت حاکمه کنونی است تا بتواند سازش قطعی با امپریالیسم را در شرایط مناسب به انجام رساند.» </w:t>
      </w:r>
    </w:p>
  </w:footnote>
  <w:footnote w:id="26">
    <w:p>
      <w:pPr>
        <w:pStyle w:val="FootnoteText"/>
        <w:bidi/>
      </w:pPr>
      <w:r>
        <w:rPr>
          <w:rStyle w:val="FootnoteReference"/>
        </w:rPr>
        <w:footnoteRef/>
      </w:r>
      <w:r>
        <w:rPr>
          <w:rtl/>
        </w:rPr>
        <w:t xml:space="preserve"> </w:t>
      </w:r>
      <w:r>
        <w:rPr>
          <w:rtl/>
        </w:rPr>
        <w:t xml:space="preserve">زمانی که پس از خرداد ۶۰ «اقلیتی‌ها» موقتاً شیفته مجاهدین می‌شوند، کار را به جائی می‌رسانند که خمینی را «دشمن بشریت، دشمن ترقی، دشمن پیشرفت و انقلاب» (نشریه کار، شمارهٔ ۱۳۴، ۱۳ آبان ۱۳۶۰) می‌خوانند و حتّی مارکسیسم و تحلیل طبقاتی خود را فراموش می‌کنند. </w:t>
      </w:r>
    </w:p>
  </w:footnote>
  <w:footnote w:id="27">
    <w:p>
      <w:pPr>
        <w:pStyle w:val="FootnoteText"/>
        <w:bidi/>
      </w:pPr>
      <w:r>
        <w:rPr>
          <w:rStyle w:val="FootnoteReference"/>
        </w:rPr>
        <w:footnoteRef/>
      </w:r>
      <w:r>
        <w:rPr>
          <w:rtl/>
        </w:rPr>
        <w:t xml:space="preserve"> </w:t>
      </w:r>
      <w:r>
        <w:rPr>
          <w:rtl/>
        </w:rPr>
        <w:t xml:space="preserve">کلمه خیرخواهانه در داخل گیومه قرار دارد، ولی علت آن برای ما معلوم نیست. اگر «اقلیت» می‌خواست جنبه غیر‌واقعی آنرا نشان دهد (که ازاین جمله، چنین بر نمیآید) می‌بایست علامت گذاری لازم را در این مورد می‌کرد. </w:t>
      </w:r>
    </w:p>
  </w:footnote>
  <w:footnote w:id="28">
    <w:p>
      <w:pPr>
        <w:pStyle w:val="FootnoteText"/>
        <w:bidi/>
      </w:pPr>
      <w:r>
        <w:rPr>
          <w:rStyle w:val="FootnoteReference"/>
        </w:rPr>
        <w:footnoteRef/>
      </w:r>
      <w:r>
        <w:rPr>
          <w:rtl/>
        </w:rPr>
        <w:t xml:space="preserve"> </w:t>
      </w:r>
      <w:r>
        <w:rPr>
          <w:rtl/>
        </w:rPr>
        <w:t xml:space="preserve">نشریه کار، شمارهٔ ۶۱، خرداد ۱۳۵۹ </w:t>
      </w:r>
    </w:p>
  </w:footnote>
  <w:footnote w:id="29">
    <w:p>
      <w:pPr>
        <w:pStyle w:val="FootnoteText"/>
        <w:bidi/>
      </w:pPr>
      <w:r>
        <w:rPr>
          <w:rStyle w:val="FootnoteReference"/>
        </w:rPr>
        <w:footnoteRef/>
      </w:r>
      <w:r>
        <w:rPr>
          <w:rtl/>
        </w:rPr>
        <w:t xml:space="preserve"> </w:t>
      </w:r>
      <w:r>
        <w:rPr>
          <w:rtl/>
        </w:rPr>
        <w:t xml:space="preserve">از این جا می‌توان به ماهیت شعارهای «انقلابی» چنین سازمانی پی بُرد! </w:t>
      </w:r>
    </w:p>
  </w:footnote>
  <w:footnote w:id="30">
    <w:p>
      <w:pPr>
        <w:pStyle w:val="FootnoteText"/>
        <w:bidi/>
      </w:pPr>
      <w:r>
        <w:rPr>
          <w:rStyle w:val="FootnoteReference"/>
        </w:rPr>
        <w:footnoteRef/>
      </w:r>
      <w:r>
        <w:rPr>
          <w:rtl/>
        </w:rPr>
        <w:t xml:space="preserve"> </w:t>
      </w:r>
      <w:r>
        <w:rPr>
          <w:rtl/>
        </w:rPr>
        <w:t xml:space="preserve">از این جا می‌توان به ماهیت واقعی این پیشروان پی بُرد! </w:t>
      </w:r>
    </w:p>
  </w:footnote>
  <w:footnote w:id="31">
    <w:p>
      <w:pPr>
        <w:pStyle w:val="FootnoteText"/>
        <w:bidi/>
      </w:pPr>
      <w:r>
        <w:rPr>
          <w:rStyle w:val="FootnoteReference"/>
        </w:rPr>
        <w:footnoteRef/>
      </w:r>
      <w:r>
        <w:rPr>
          <w:rtl/>
        </w:rPr>
        <w:t xml:space="preserve"> </w:t>
      </w:r>
      <w:r>
        <w:rPr>
          <w:rtl/>
        </w:rPr>
        <w:t xml:space="preserve">از این جا می‌توان آن «توده‌های نا آگاه و متوهم» که در طی پنج سال گذشته عنصراصلی تمام تحلیل‌های اپورتونیستی بوده است را شناخت. این‌ها اپورتونیسم خود را با «نا آگاهی و توهم توده‌ها» توجیه می‌کنند. </w:t>
      </w:r>
    </w:p>
  </w:footnote>
  <w:footnote w:id="32">
    <w:p>
      <w:pPr>
        <w:pStyle w:val="FootnoteText"/>
        <w:bidi/>
      </w:pPr>
      <w:r>
        <w:rPr>
          <w:rStyle w:val="FootnoteReference"/>
        </w:rPr>
        <w:footnoteRef/>
      </w:r>
      <w:r>
        <w:rPr>
          <w:rtl/>
        </w:rPr>
        <w:t xml:space="preserve"> </w:t>
      </w:r>
      <w:r>
        <w:rPr>
          <w:rtl/>
        </w:rPr>
        <w:t xml:space="preserve">نشریه کار، شمارهٔ ۸۳، مقاله «پردۀ آخر نمایش مبارزه ضدّ امپریالیستی حاکمیت» ۱۵ آبان ۱۳۵۹ </w:t>
      </w:r>
    </w:p>
  </w:footnote>
  <w:footnote w:id="33">
    <w:p>
      <w:pPr>
        <w:pStyle w:val="FootnoteText"/>
        <w:bidi/>
      </w:pPr>
      <w:r>
        <w:rPr>
          <w:rStyle w:val="FootnoteReference"/>
        </w:rPr>
        <w:footnoteRef/>
      </w:r>
      <w:r>
        <w:rPr>
          <w:rtl/>
        </w:rPr>
        <w:t xml:space="preserve"> </w:t>
      </w:r>
      <w:r>
        <w:rPr>
          <w:rtl/>
        </w:rPr>
        <w:t xml:space="preserve">همانجا در ادامۀ مقاله می‌آید: «با گذشت یکسال از تسخیر لانه جاسوسی سرانجام پرده‌ها به کنار زده شد و نمایش مسخره و مضحکی را که هیأت حاکمه برای فریب توده‌ها آغاز کرده بود، با نمایش مضحک‌تر در «مجلس شورای اسلامی» به پایان رسید و سرانجام صحت و سُقم تمام تحلیل‌ها (تحلیل‌های چه کسی؟!) در مورد مسئلۀ گروگانگیری و اهداف هیأت حاکمه از آن روشن شد». «اقلیت» در کمال روحیه از این فرصت استفاده کرده، طعنه‌ای هم به شرکای سابق خودش می‌زند: «در این رهگذر تنها مرتدان «کمیته مرکزی» و حزب توده هستند که چون کودکان عقب مانده مات و مبهوت به این صحنه آخرین مینگرند و برای بازیگران «نمایش ضدّ امپریالیستی» مشتاقانه دست می‌زنند (نشریه کار، شمارهٔ ۸۳، آبان ۱۳۵۹). </w:t>
      </w:r>
    </w:p>
  </w:footnote>
  <w:footnote w:id="34">
    <w:p>
      <w:pPr>
        <w:pStyle w:val="FootnoteText"/>
        <w:bidi/>
      </w:pPr>
      <w:r>
        <w:rPr>
          <w:rStyle w:val="FootnoteReference"/>
        </w:rPr>
        <w:footnoteRef/>
      </w:r>
      <w:r>
        <w:rPr>
          <w:rtl/>
        </w:rPr>
        <w:t xml:space="preserve"> </w:t>
      </w:r>
      <w:r>
        <w:rPr>
          <w:rtl/>
        </w:rPr>
        <w:t xml:space="preserve">وقتی که قبول کردیم که در ایران سرمایه‌داری وابسته به امپریالیسم حاکم است یا نظام اجتماعی- اقتصادی ما، نظام سرمایه‌داری وابسته است، دیگر حق نداریم با صحبت از «سرمایه» یک امر مشخص و روشن را به امری مجرد و کلی تبدیل کنیم. وقتی این امر را پذیرفتیم همواره باید هنگام سخن گفتن از سرمایه در ایران صفت وابسته را به آن اضافه کنیم و از همینجا، جلوی آن کسانی را که می‌خواهند تحلیل‌های آماده را از خارج برای مصرف داخلی وارد کنند بگیریم. </w:t>
      </w:r>
    </w:p>
  </w:footnote>
  <w:footnote w:id="35">
    <w:p>
      <w:pPr>
        <w:pStyle w:val="FootnoteText"/>
        <w:bidi/>
      </w:pPr>
      <w:r>
        <w:rPr>
          <w:rStyle w:val="FootnoteReference"/>
        </w:rPr>
        <w:footnoteRef/>
      </w:r>
      <w:r>
        <w:rPr>
          <w:rtl/>
        </w:rPr>
        <w:t xml:space="preserve"> </w:t>
      </w:r>
      <w:r>
        <w:rPr>
          <w:rtl/>
        </w:rPr>
        <w:t xml:space="preserve">دیکتاتوری و تبلیغ مسلّحانه (قهر) ص ۴۷. </w:t>
      </w:r>
    </w:p>
  </w:footnote>
  <w:footnote w:id="36">
    <w:p>
      <w:pPr>
        <w:pStyle w:val="FootnoteText"/>
        <w:bidi/>
      </w:pPr>
      <w:r>
        <w:rPr>
          <w:rStyle w:val="FootnoteReference"/>
        </w:rPr>
        <w:footnoteRef/>
      </w:r>
      <w:r>
        <w:rPr>
          <w:rtl/>
        </w:rPr>
        <w:t xml:space="preserve"> </w:t>
      </w:r>
      <w:r>
        <w:rPr>
          <w:rtl/>
        </w:rPr>
        <w:t xml:space="preserve">نشریه کار، شمارهٔ۶۷، ۲۴ تیرماه ۱۳۵۹. </w:t>
      </w:r>
    </w:p>
  </w:footnote>
  <w:footnote w:id="37">
    <w:p>
      <w:pPr>
        <w:pStyle w:val="FootnoteText"/>
        <w:bidi/>
      </w:pPr>
      <w:r>
        <w:rPr>
          <w:rStyle w:val="FootnoteReference"/>
        </w:rPr>
        <w:footnoteRef/>
      </w:r>
      <w:r>
        <w:rPr>
          <w:rtl/>
        </w:rPr>
        <w:t xml:space="preserve"> </w:t>
      </w:r>
      <w:r>
        <w:rPr>
          <w:rtl/>
        </w:rPr>
        <w:t xml:space="preserve">با همین درک است که «اقلیت» درباره ی میثاق بنی‌صدر می‌نویسد «شکی نیست که «میثاق» در حدودی که بر لزوم استقرار آزادیهای سیاسی تأکید میکند مورد حمایت ماست و خواهد بود» (نامه سرگشاده به مجاهدین نشریه کار، شمارهٔ ۱۳۱ مهرماه ۱۳۶۰). اگر میثاق بنا به گفته خود «اقلیت» ارتش و بوروکراسی را بهمین صورتی که هست حفظ می‌کند، جنبه‌های دمکراتیک میثاق چه معنائی جز عوام فریبی دیکتاتورهائی که چون دستشان از قدرت کوتاه است ««دموکرات» شده‌اند، دارد؟ </w:t>
      </w:r>
    </w:p>
  </w:footnote>
  <w:footnote w:id="38">
    <w:p>
      <w:pPr>
        <w:pStyle w:val="FootnoteText"/>
        <w:bidi/>
      </w:pPr>
      <w:r>
        <w:rPr>
          <w:rStyle w:val="FootnoteReference"/>
        </w:rPr>
        <w:footnoteRef/>
      </w:r>
      <w:r>
        <w:rPr>
          <w:rtl/>
        </w:rPr>
        <w:t xml:space="preserve"> </w:t>
      </w:r>
      <w:r>
        <w:rPr>
          <w:rtl/>
        </w:rPr>
        <w:t xml:space="preserve">«اقلیت» این روزها زیاد ترکمن صحرا را به رخ مجاهدین می‌کشد. ما در اینجا از روزهائی سخن می‌گوئیم که همه اپورتونیست‌ها و سازشکاران از «اکثریتی» و توده‌ای (که آن زمان تا این حدّ بد نام نشده بودند) تا «اقلیتی» و مجاهدین خلق همه دست در دست هم و هر کدام با لحنی ویژه و در لفافه‌ای ویژه و با دلایلی ویژه به رژیم جمهوری اسلامی کمک میکردند تا خود را برای سلاخی خلق هر چه بیشتر آماده کند. </w:t>
      </w:r>
    </w:p>
  </w:footnote>
  <w:footnote w:id="39">
    <w:p>
      <w:pPr>
        <w:pStyle w:val="FootnoteText"/>
        <w:bidi/>
      </w:pPr>
      <w:r>
        <w:rPr>
          <w:rStyle w:val="FootnoteReference"/>
        </w:rPr>
        <w:footnoteRef/>
      </w:r>
      <w:r>
        <w:rPr>
          <w:rtl/>
        </w:rPr>
        <w:t xml:space="preserve"> </w:t>
      </w:r>
      <w:r>
        <w:rPr>
          <w:rtl/>
        </w:rPr>
        <w:t xml:space="preserve">رجوع کنید به جزوه «چه کسی پشت سر چه کسی است (در جنگ دو رژیم ضدّ خلقی ایران و عراق)» از انتشارات چریکهای فدائی خلق ایران. </w:t>
      </w:r>
    </w:p>
  </w:footnote>
  <w:footnote w:id="40">
    <w:p>
      <w:pPr>
        <w:pStyle w:val="FootnoteText"/>
        <w:bidi/>
      </w:pPr>
      <w:r>
        <w:rPr>
          <w:rStyle w:val="FootnoteReference"/>
        </w:rPr>
        <w:footnoteRef/>
      </w:r>
      <w:r>
        <w:rPr>
          <w:rtl/>
        </w:rPr>
        <w:t xml:space="preserve"> </w:t>
      </w:r>
      <w:r>
        <w:rPr>
          <w:rtl/>
        </w:rPr>
        <w:t xml:space="preserve">نشریه کار، شماره ۶۷، ص ۹، ۲۴ تیرماه ۱۳۵۹. </w:t>
      </w:r>
    </w:p>
  </w:footnote>
  <w:footnote w:id="41">
    <w:p>
      <w:pPr>
        <w:pStyle w:val="FootnoteText"/>
        <w:bidi/>
      </w:pPr>
      <w:r>
        <w:rPr>
          <w:rStyle w:val="FootnoteReference"/>
        </w:rPr>
        <w:footnoteRef/>
      </w:r>
      <w:r>
        <w:rPr>
          <w:rtl/>
        </w:rPr>
        <w:t xml:space="preserve"> </w:t>
      </w:r>
      <w:r>
        <w:rPr>
          <w:rtl/>
        </w:rPr>
        <w:t xml:space="preserve">این برداشت از امپریالیسم و نقش او باعث می‌شود که «اقلیت» در اعلامیه‌ای که به مناسبت حمله به سفارت ژاپن به تاریخ ۲۵ مرداد ۱۳۶۱ منتشر می‌کند، بنویسد: «در شرایط کنونی، مبارزه با این دشمن شناخته شده (یعنی آمریکا) از کانال مبارزه با امپریالیسم ژاپن صورت خواهد گرفت». بله! قهرمانان شعار «نابود باد امپریالیسم جهانی به سرکردگی‌ امپریالیسم آمریکا و پایگاه داخلی‌اش»، آمریکا را در ایران پیدا نمی‌کند. رفقا! مبارزه با آمریکا در ایران از «کانال» مبارزه با ارتش امپریالیستی و سایر دستگاه‌های سرکوب و رژیم سیاسی‌ای که این ابزار سرکوب در اختیار او قرار دارد، میگذرد و اگر گاه و بیگاه انقلابیون به این یا آن عامل مستقیم امپریالیسم حمله می‌کنند بیشتر جنبه سمبلیک و تبلیغاتی دارد. شما که در برشمردن «اشتباهات اساسی‌ِ» خط مشی گذشته سازمان آن قدر موشکافی کردید، چرا به این گفته‌ی رفیق احمدزاده نپرداختید که گفت: «در حقیقت تبیین هر‌گونه تغییر و تحولی در جامعه بدون آن که به تضادّ اصلی‌ِ‌ نظام موجود، یعنی تضادّ بین خلق و سلطه‌ امپریالیستی توجه شود، تبدیل به یک چیز پوچ و مُحمَل می‌گردد. مسئله‌ سلطه امپریالیسم را باید به طور ارگانیک و به مثابه زمینه‌ هر‌گونه تحلیل و تبیین در نظر گرفت، نه چون یک عامل خارجی که به هر حال نقشی دارد» (مبارزه مسلّحانه هم استراتژی هم تاکتیک، ص ۵۵). </w:t>
      </w:r>
    </w:p>
  </w:footnote>
  <w:footnote w:id="42">
    <w:p>
      <w:pPr>
        <w:pStyle w:val="FootnoteText"/>
        <w:bidi/>
      </w:pPr>
      <w:r>
        <w:rPr>
          <w:rStyle w:val="FootnoteReference"/>
        </w:rPr>
        <w:footnoteRef/>
      </w:r>
      <w:r>
        <w:rPr>
          <w:rtl/>
        </w:rPr>
        <w:t xml:space="preserve"> </w:t>
      </w:r>
      <w:r>
        <w:rPr>
          <w:rtl/>
        </w:rPr>
        <w:t xml:space="preserve">البتّه «اقلیت» شعار «پیش بسوی تشکیل حزب طبقه کارگر» را نیز میداد که ضررش به هیچکس نمیرسید و اساساً هیچگونه واکنش سیاسی در جامعه بر نمی‌انگیخت. </w:t>
      </w:r>
    </w:p>
  </w:footnote>
  <w:footnote w:id="43">
    <w:p>
      <w:pPr>
        <w:pStyle w:val="FootnoteText"/>
        <w:bidi/>
      </w:pPr>
      <w:r>
        <w:rPr>
          <w:rStyle w:val="FootnoteReference"/>
        </w:rPr>
        <w:footnoteRef/>
      </w:r>
      <w:r>
        <w:rPr>
          <w:rtl/>
        </w:rPr>
        <w:t xml:space="preserve"> </w:t>
      </w:r>
      <w:r>
        <w:rPr>
          <w:rtl/>
        </w:rPr>
        <w:t xml:space="preserve">به نظر میرسد که دزد، چندان هم ناشی نبوده و به کاهدان نزده است. </w:t>
      </w:r>
    </w:p>
  </w:footnote>
  <w:footnote w:id="44">
    <w:p>
      <w:pPr>
        <w:pStyle w:val="FootnoteText"/>
        <w:bidi/>
      </w:pPr>
      <w:r>
        <w:rPr>
          <w:rStyle w:val="FootnoteReference"/>
        </w:rPr>
        <w:footnoteRef/>
      </w:r>
      <w:r>
        <w:rPr>
          <w:rtl/>
        </w:rPr>
        <w:t xml:space="preserve"> </w:t>
      </w:r>
      <w:r>
        <w:rPr>
          <w:rtl/>
        </w:rPr>
        <w:t xml:space="preserve">البتّه همراه این شعار نیز، به جای شعار رفرمیستی «پیش بسوی مجلس مؤسسان»، شعار به ظاهر انقلابی «برقرار باد جمهوری دموکراتیک خلق» آمده است که آن نیز نزد «اقلیت» فاقد هر‌گونه محتوای عملی است. </w:t>
      </w:r>
    </w:p>
  </w:footnote>
  <w:footnote w:id="45">
    <w:p>
      <w:pPr>
        <w:pStyle w:val="FootnoteText"/>
        <w:bidi/>
      </w:pPr>
      <w:r>
        <w:rPr>
          <w:rStyle w:val="FootnoteReference"/>
        </w:rPr>
        <w:footnoteRef/>
      </w:r>
      <w:r>
        <w:rPr>
          <w:rtl/>
        </w:rPr>
        <w:t xml:space="preserve"> </w:t>
      </w:r>
      <w:r>
        <w:rPr>
          <w:rtl/>
        </w:rPr>
        <w:t xml:space="preserve">دیکتاتوری و تبلیغ مسلّحانه (قهر)، ص ۴۸ </w:t>
      </w:r>
    </w:p>
  </w:footnote>
  <w:footnote w:id="46">
    <w:p>
      <w:pPr>
        <w:pStyle w:val="FootnoteText"/>
        <w:bidi/>
      </w:pPr>
      <w:r>
        <w:rPr>
          <w:rStyle w:val="FootnoteReference"/>
        </w:rPr>
        <w:footnoteRef/>
      </w:r>
      <w:r>
        <w:rPr>
          <w:rtl/>
        </w:rPr>
        <w:t xml:space="preserve"> </w:t>
      </w:r>
      <w:r>
        <w:rPr>
          <w:rtl/>
        </w:rPr>
        <w:t xml:space="preserve">دیکتاتوری و تبلیغ مسلّحانه (قهر)، ص ۴۵ </w:t>
      </w:r>
    </w:p>
  </w:footnote>
  <w:footnote w:id="47">
    <w:p>
      <w:pPr>
        <w:pStyle w:val="FootnoteText"/>
        <w:bidi/>
      </w:pPr>
      <w:r>
        <w:rPr>
          <w:rStyle w:val="FootnoteReference"/>
        </w:rPr>
        <w:footnoteRef/>
      </w:r>
      <w:r>
        <w:rPr>
          <w:rtl/>
        </w:rPr>
        <w:t xml:space="preserve"> </w:t>
      </w:r>
      <w:r>
        <w:rPr>
          <w:rtl/>
        </w:rPr>
        <w:t xml:space="preserve">ما در این جا به محتوا و حتّی لهجه بورژوائی این فرمول بندی کاری نداریم. </w:t>
      </w:r>
    </w:p>
  </w:footnote>
  <w:footnote w:id="48">
    <w:p>
      <w:pPr>
        <w:pStyle w:val="FootnoteText"/>
        <w:bidi/>
      </w:pPr>
      <w:r>
        <w:rPr>
          <w:rStyle w:val="FootnoteReference"/>
        </w:rPr>
        <w:footnoteRef/>
      </w:r>
      <w:r>
        <w:rPr>
          <w:rtl/>
        </w:rPr>
        <w:t xml:space="preserve"> </w:t>
      </w:r>
      <w:r>
        <w:rPr>
          <w:rtl/>
        </w:rPr>
        <w:t xml:space="preserve">کاش «اقلیت» که همواره جریان‌های اجتماعی را با اسم اشخاص می‌شناسد، در این جا هم اسم یکی دو تا از این «لیبرال-دموکرات‌ها» را می‌آورد تا بدانیم که او به چه مرتجعینی می‌گوید ««لیبرال-دموکرات». </w:t>
      </w:r>
    </w:p>
  </w:footnote>
  <w:footnote w:id="49">
    <w:p>
      <w:pPr>
        <w:pStyle w:val="FootnoteText"/>
        <w:bidi/>
      </w:pPr>
      <w:r>
        <w:rPr>
          <w:rStyle w:val="FootnoteReference"/>
        </w:rPr>
        <w:footnoteRef/>
      </w:r>
      <w:r>
        <w:rPr>
          <w:rtl/>
        </w:rPr>
        <w:t xml:space="preserve"> </w:t>
      </w:r>
      <w:r>
        <w:rPr>
          <w:rtl/>
        </w:rPr>
        <w:t xml:space="preserve">با آن که «راه کارگر» سازمانی نوپاست ولی در همین مدت کوتاه از عمر خود در تشخیص و اتخاذ سیاست‌های اپورتونیستی نبوغ بسیاری از خود نشان داده است. همواره سرمداران این سازمان را در تکاپو برای یافتن اپورتونیستی‌ترین مواضع می‌بینید و به همین دلیل است که «اقلیتی‌ها» چه قبل از انشعاب و چه بعد از آن همواره علاقه زیادی به بحث و درس آموزی از «راه کارگر» دارند. در بحث با «راه کارگر» اگر هیچ مسئله جدی‌ای را نشود، پیش بُرد می‌توان مصالح بسیاری برای توجیه مواضع اپورتونیستی بدست آورد. این بحث‌ها یک سود دیگر هم برای «اقلیت» دارند و آن این است که اغلب می‌تواند خودش را به نسبت «راه کارگر»، انقلابی نشان دهد. </w:t>
      </w:r>
    </w:p>
  </w:footnote>
  <w:footnote w:id="50">
    <w:p>
      <w:pPr>
        <w:pStyle w:val="FootnoteText"/>
        <w:bidi/>
      </w:pPr>
      <w:r>
        <w:rPr>
          <w:rStyle w:val="FootnoteReference"/>
        </w:rPr>
        <w:footnoteRef/>
      </w:r>
      <w:r>
        <w:rPr>
          <w:rtl/>
        </w:rPr>
        <w:t xml:space="preserve"> </w:t>
      </w:r>
      <w:r>
        <w:rPr>
          <w:rtl/>
        </w:rPr>
        <w:t xml:space="preserve">همه شعارها در مرحله اول به آن جهت مطرح می‌شوند که در راه تحقق آنها گام برداشته شود. «اقلیت» شعاری میدهد به «قصد نفی آن». «اقلیت» خود از پیش می‌داند که تجربه توده‌ها جز نفی این شعار را نتیجه نمی‌دهد. آنچه می‌ماند این است که چرا «اقلیت» در این مرحله شعاری نمی‌دهد که بتواند توده‌ها را برای تحقق آن بسیج کند؟ </w:t>
      </w:r>
    </w:p>
  </w:footnote>
  <w:footnote w:id="51">
    <w:p>
      <w:pPr>
        <w:pStyle w:val="FootnoteText"/>
        <w:bidi/>
      </w:pPr>
      <w:r>
        <w:rPr>
          <w:rStyle w:val="FootnoteReference"/>
        </w:rPr>
        <w:footnoteRef/>
      </w:r>
      <w:r>
        <w:rPr>
          <w:rtl/>
        </w:rPr>
        <w:t xml:space="preserve"> </w:t>
      </w:r>
      <w:r>
        <w:rPr>
          <w:rtl/>
        </w:rPr>
        <w:t xml:space="preserve">دقت داشته باشیم که این حرف را سازمانی می‌زند که</w:t>
      </w:r>
      <w:r>
        <w:rPr>
          <w:rtl/>
        </w:rPr>
        <w:t xml:space="preserve"> </w:t>
      </w:r>
      <w:r>
        <w:rPr>
          <w:i/>
          <w:iCs/>
          <w:rtl/>
        </w:rPr>
        <w:t xml:space="preserve">شعار عمده اش</w:t>
      </w:r>
      <w:r>
        <w:rPr>
          <w:rtl/>
        </w:rPr>
        <w:t xml:space="preserve"> </w:t>
      </w:r>
      <w:r>
        <w:rPr>
          <w:rtl/>
        </w:rPr>
        <w:t xml:space="preserve">برای این مرحله «مرگ بر حزب جمهوری اسلامی» و</w:t>
      </w:r>
      <w:r>
        <w:rPr>
          <w:rtl/>
        </w:rPr>
        <w:t xml:space="preserve"> </w:t>
      </w:r>
      <w:r>
        <w:rPr>
          <w:i/>
          <w:iCs/>
          <w:rtl/>
        </w:rPr>
        <w:t xml:space="preserve">وظیفه عمده اش</w:t>
      </w:r>
      <w:r>
        <w:rPr>
          <w:rtl/>
        </w:rPr>
        <w:t xml:space="preserve"> </w:t>
      </w:r>
      <w:r>
        <w:rPr>
          <w:rtl/>
        </w:rPr>
        <w:t xml:space="preserve">مبارزه برای آزادیهای دموکراتیک است. اگر اساس اقتصادی-اجتماعی رژیم مانع تحقق «آزادیهای دموکراتیک» است، در چنین رژیمی طرح شعار مرگ بر فلان حزب و یا خواست تشکیل «مجلس مؤسسان» بدون طرح «شعار سرنگونی» چه مفهومی دارد؟ امّا چاره‌ای نیست، «اقلیت» در بین «دو نبرد» گیر کرده است، در حالی که نه نبرد قبلی را فهمیده و نه برای نبرد آینده آماده است. </w:t>
      </w:r>
    </w:p>
  </w:footnote>
  <w:footnote w:id="52">
    <w:p>
      <w:pPr>
        <w:pStyle w:val="FootnoteText"/>
        <w:bidi/>
      </w:pPr>
      <w:r>
        <w:rPr>
          <w:rStyle w:val="FootnoteReference"/>
        </w:rPr>
        <w:footnoteRef/>
      </w:r>
      <w:r>
        <w:rPr>
          <w:rtl/>
        </w:rPr>
        <w:t xml:space="preserve"> </w:t>
      </w:r>
      <w:r>
        <w:rPr>
          <w:rtl/>
        </w:rPr>
        <w:t xml:space="preserve">البتّه نباید فراموش کرد که در اینجا ما شعار «مجلس مؤسسان» را به آن صورتی که در تیر ماه ۶۰ از طرف «اقلیت» مطرح شده بررسی می‌کنیم. </w:t>
      </w:r>
    </w:p>
  </w:footnote>
  <w:footnote w:id="54">
    <w:p>
      <w:pPr>
        <w:pStyle w:val="FootnoteText"/>
        <w:bidi/>
      </w:pPr>
      <w:r>
        <w:rPr>
          <w:rStyle w:val="FootnoteReference"/>
        </w:rPr>
        <w:footnoteRef/>
      </w:r>
      <w:r>
        <w:rPr>
          <w:rtl/>
        </w:rPr>
        <w:t xml:space="preserve"> </w:t>
      </w:r>
      <w:r>
        <w:rPr>
          <w:rtl/>
        </w:rPr>
        <w:t xml:space="preserve">آن‌ها اساساً متعرض این امر نمی‌شدند که از نظر رفیق احمدزاده و هواداران تئوری مبارزه مسلّحانه «شرایط عینی انقلاب» با «موقعیت انقلابی» دو چیز کاملاً متفاوت است. </w:t>
      </w:r>
    </w:p>
  </w:footnote>
  <w:footnote w:id="55">
    <w:p>
      <w:pPr>
        <w:pStyle w:val="FootnoteText"/>
        <w:bidi/>
      </w:pPr>
      <w:r>
        <w:rPr>
          <w:rStyle w:val="FootnoteReference"/>
        </w:rPr>
        <w:footnoteRef/>
      </w:r>
      <w:r>
        <w:rPr>
          <w:rtl/>
        </w:rPr>
        <w:t xml:space="preserve"> </w:t>
      </w:r>
      <w:r>
        <w:rPr>
          <w:rtl/>
        </w:rPr>
        <w:t xml:space="preserve">اگر «اقلیت» از خودش می‌خواست بپرسد که در طول این جنگ داخلی، من به چه کاری مشغول بودم و اگر می‌خواست به این سؤال پاسخی صمیمانه بدهد، ناگزیر بود اذعان کند که در این مدت کاری جز این نکرده است که به طرف انقلابی این جنگ داخلی موعظه کند که مبادا به فکر «سرنگونی» طرف ضدّ‌انقلابی این جنگ در حکومت بیفتد. </w:t>
      </w:r>
    </w:p>
  </w:footnote>
  <w:footnote w:id="56">
    <w:p>
      <w:pPr>
        <w:pStyle w:val="FootnoteText"/>
        <w:bidi/>
      </w:pPr>
      <w:r>
        <w:rPr>
          <w:rStyle w:val="FootnoteReference"/>
        </w:rPr>
        <w:footnoteRef/>
      </w:r>
      <w:r>
        <w:rPr>
          <w:rtl/>
        </w:rPr>
        <w:t xml:space="preserve"> </w:t>
      </w:r>
      <w:r>
        <w:rPr>
          <w:rtl/>
        </w:rPr>
        <w:t xml:space="preserve">ما البتّه بعداً به درک «اقلیت» از قیام بیشتر خواهیم پرداخت ولی اصولاً «اقلیت» در این زمینه که چرا قیام را بعنوان تنها شکل برای سرنگونی انقلابی رژیم می‌شناسد کاری بیش از این نمی‌کند که از یک طرف به کلیاتی از این قبیل که هر فرماسیون شیوه مبارزه ویژه خود را دارد و اعتصاب عمومی و قیام مسلّحانه شهری شیوه مختص فرماسیون سرمایه‌داری است، استناد نماید و از طرف دیگر بطور امپیریک به قیام بهمن اشاره نماید و مخصوصاً در این «بحبوحه» نمی‌توان از او توضیح خواست که چرا قیام و نه جنگ توده‌ای؟ </w:t>
      </w:r>
    </w:p>
  </w:footnote>
  <w:footnote w:id="57">
    <w:p>
      <w:pPr>
        <w:pStyle w:val="FootnoteText"/>
        <w:bidi/>
      </w:pPr>
      <w:r>
        <w:rPr>
          <w:rStyle w:val="FootnoteReference"/>
        </w:rPr>
        <w:footnoteRef/>
      </w:r>
      <w:r>
        <w:rPr>
          <w:rtl/>
        </w:rPr>
        <w:t xml:space="preserve"> </w:t>
      </w:r>
      <w:r>
        <w:rPr>
          <w:rtl/>
        </w:rPr>
        <w:t xml:space="preserve">در نقل قولی که در متن مقاله از لنین آمده، لنین صراحتا می‌گوید «هدف فوری این عملیات، تخریب ماشین حکومتی، پلیسی و نظامی» می‌باشد. </w:t>
      </w:r>
    </w:p>
  </w:footnote>
  <w:footnote w:id="58">
    <w:p>
      <w:pPr>
        <w:pStyle w:val="FootnoteText"/>
        <w:bidi/>
      </w:pPr>
      <w:r>
        <w:rPr>
          <w:rStyle w:val="FootnoteReference"/>
        </w:rPr>
        <w:footnoteRef/>
      </w:r>
      <w:r>
        <w:rPr>
          <w:rtl/>
        </w:rPr>
        <w:t xml:space="preserve"> </w:t>
      </w:r>
      <w:r>
        <w:rPr>
          <w:rtl/>
        </w:rPr>
        <w:t xml:space="preserve">بله، آن زمان «اقلیت» به این صورت از عملیات مسلّحانه‌ای که اساساً توسط مجاهدین صورت میگرفت در مقابل انتقادات اپورتونیست هائی نظیر «پیکار» دفاع می‌کرد، ولی بعدها که مجاهدین شاید صرفاً به جرم به دست نیاوردن پیروزی فوری مورد «غضب» «اقلیت» قرار گرفتند، درباره همین عملیات آن‌ها نوشت «اقدامات نظامی آنها نیز به شکل یک سلسله اعمال تروریستی در می‌آید». (نشریه کار، شمارهٔ ۱۵۳، ۲۶ تیرماه ۱۳۶۲) و «توده‌ها در عمل انقلابی خود کلیه برنامه‌های بورژوا-رفرمیستی و شیوه‌های بلانکیستی کسب قدرت را نقش بر آب می‌سازند». (نشریه کار، شمارهٔ ۱۷۲، ۱۸ شهریور ۱۳۶۲) سازمان «پیکار» هر چه بود در اپورتونیسم خود پیگیر بود و درست در ساعتی که تاریخ، ناقوس مرگش را به صدا درآورد صادقانه تسلیم شد ولی هستند اپورتونیست هائی که با این عبارت پردازی‌ها به موقع سر عزرائیل را هم کلاه می‌گذارند. </w:t>
      </w:r>
    </w:p>
  </w:footnote>
  <w:footnote w:id="59">
    <w:p>
      <w:pPr>
        <w:pStyle w:val="FootnoteText"/>
        <w:bidi/>
      </w:pPr>
      <w:r>
        <w:rPr>
          <w:rStyle w:val="FootnoteReference"/>
        </w:rPr>
        <w:footnoteRef/>
      </w:r>
      <w:r>
        <w:rPr>
          <w:rtl/>
        </w:rPr>
        <w:t xml:space="preserve"> </w:t>
      </w:r>
      <w:r>
        <w:rPr>
          <w:rtl/>
        </w:rPr>
        <w:t xml:space="preserve">«اقلیت» آن چنان در رونویسی از روی دست لنین و بریدن یال و دم حرف‌های او و جا زدن آنها به عنوان «بخشی از تاکتیک‌های» خودش غرق شده است که بواقع حس می‌کند در روسیه دسامبر ۱۹۰۵ و یا تابستانِ ۱۹۱۷ زندگی می‌کند و درست مثل لنین نگران «یک قیام زودرس» می‌شود. </w:t>
      </w:r>
    </w:p>
  </w:footnote>
  <w:footnote w:id="60">
    <w:p>
      <w:pPr>
        <w:pStyle w:val="FootnoteText"/>
        <w:bidi/>
      </w:pPr>
      <w:r>
        <w:rPr>
          <w:rStyle w:val="FootnoteReference"/>
        </w:rPr>
        <w:footnoteRef/>
      </w:r>
      <w:r>
        <w:rPr>
          <w:rtl/>
        </w:rPr>
        <w:t xml:space="preserve"> </w:t>
      </w:r>
      <w:r>
        <w:rPr>
          <w:rtl/>
        </w:rPr>
        <w:t xml:space="preserve">«اقلیت» هوادار خوش باور خود را با چنان درکی از «قیام» خو داده است که او به هرگونه جنبش خود‌به‌خودی توده‌ها به عنوان «قیام» نگاه می‌کند. هرحرکت و جنبش خود‌به‌خودی توده‌ها از طرف «اقلیت» و سایر اپورتونیست‌های منتظر قیام به عنوان جرقه‌های یک «قیام توده‌ای» و تحقق پیش بینی‌های تحلیلهای اپورتونیستی آنها جلوه داده می‌شود. ولی اینها فراموش می‌کنند که به خواننده خود بگویند این «قیام توده‌ای» حتّی اگر رخ بدهد، غیر از آن قیامی است که لنین از آن حرف میزد که توسط توده‌ای کم و بیش سازمان یافته و احزابی کاملاً متشکّل انجام می‌شد. </w:t>
      </w:r>
    </w:p>
  </w:footnote>
  <w:footnote w:id="61">
    <w:p>
      <w:pPr>
        <w:pStyle w:val="FootnoteText"/>
        <w:bidi/>
      </w:pPr>
      <w:r>
        <w:rPr>
          <w:rStyle w:val="FootnoteReference"/>
        </w:rPr>
        <w:footnoteRef/>
      </w:r>
      <w:r>
        <w:rPr>
          <w:rtl/>
        </w:rPr>
        <w:t xml:space="preserve"> </w:t>
      </w:r>
      <w:r>
        <w:rPr>
          <w:rtl/>
        </w:rPr>
        <w:t xml:space="preserve">آیا اکنون که دو سال و نیم از آن زمان میگذرد «اقلیت» به این فکر نیفتاده است که رفیق احمدزاده و اساساً تئوری مبارزه مسلّحانه حق دارد که بگوید حکومت در کشورهای وابسته</w:t>
      </w:r>
      <w:r>
        <w:rPr>
          <w:rtl/>
        </w:rPr>
        <w:t xml:space="preserve"> </w:t>
      </w:r>
      <w:r>
        <w:rPr>
          <w:i/>
          <w:iCs/>
          <w:rtl/>
        </w:rPr>
        <w:t xml:space="preserve">اساساً</w:t>
      </w:r>
      <w:r>
        <w:rPr>
          <w:rtl/>
        </w:rPr>
        <w:t xml:space="preserve"> </w:t>
      </w:r>
      <w:r>
        <w:rPr>
          <w:rtl/>
        </w:rPr>
        <w:t xml:space="preserve">بر دیکتاتوری و سرکوب آشکار و عریان استوار است نه بر «اصلاحات»؟ رژیم جمهوری اسلامی پس از ۳۰ خرداد ۱۳۶۰ بحمدالله «اصلاحاتی» اعلام نکرده است که بشود فقدان «جنبشهای توده‌ای» را به آن نسبت داد و روز ۳۰ خرداد هم مردم نشان دادند که آماده به خیابان ریختن هستند، یعنی بعبارت رفیق احمدزاده شرایط عینی فراهم است. تنها عاملی که دو سال و نیم است «اقلیت» را در انتظار قیام نگهداشته آیا جز عامل سرکوب عریان چیز دیگری است؟ و اگر آنطور که «اقلیتی‌ها» فکر می‌کنند رفیق جزنی جز این گفته آیا اشتباه نمیکرده است؟ اگر «ماتریالیسم تاریخی» زبان داشت طرف چه کسی را می‌گرفت. </w:t>
      </w:r>
    </w:p>
  </w:footnote>
  <w:footnote w:id="62">
    <w:p>
      <w:pPr>
        <w:pStyle w:val="FootnoteText"/>
        <w:bidi/>
      </w:pPr>
      <w:r>
        <w:rPr>
          <w:rStyle w:val="FootnoteReference"/>
        </w:rPr>
        <w:footnoteRef/>
      </w:r>
      <w:r>
        <w:rPr>
          <w:rtl/>
        </w:rPr>
        <w:t xml:space="preserve"> </w:t>
      </w:r>
      <w:r>
        <w:rPr>
          <w:rtl/>
        </w:rPr>
        <w:t xml:space="preserve">«اکنون قدرت سیاسی در دست یک قشر محدود قرار گرفته است که نه تنها تمامی اقشار و طبقاتی را که در تولید و زندگی معنوی جامعه نقش دارند کنار گذاشته است و با آنها در ستیز قرار گرفته است بلکه آن اقشار بورژوازی بویژه صنعتی را که قادر است تحت شرایطی بحران را مهار کند از حاکمیت کنار گذاشته است» (نشریه کار شماره ۱۲۴ شهریور ۶۰). </w:t>
      </w:r>
    </w:p>
  </w:footnote>
  <w:footnote w:id="63">
    <w:p>
      <w:pPr>
        <w:pStyle w:val="FootnoteText"/>
        <w:bidi/>
      </w:pPr>
      <w:r>
        <w:rPr>
          <w:rStyle w:val="FootnoteReference"/>
        </w:rPr>
        <w:footnoteRef/>
      </w:r>
      <w:r>
        <w:rPr>
          <w:rtl/>
        </w:rPr>
        <w:t xml:space="preserve"> </w:t>
      </w:r>
      <w:r>
        <w:rPr>
          <w:rtl/>
        </w:rPr>
        <w:t xml:space="preserve">«واقعیتی که ما امروز در ایران با آن روبرو هستیم نه وجود یکپارچگی و انسجام ارتش و بوروکراسی، بلکه گذشته از پراکندگی و فقدان انسجام، نوعی دو‌گانگی است که در ارکان ماشین دولتی حاکم عمل می‌کند» (نشریه کار، شماره ۱۲۴، شهریور ۱۳۶۰). </w:t>
      </w:r>
    </w:p>
  </w:footnote>
  <w:footnote w:id="64">
    <w:p>
      <w:pPr>
        <w:pStyle w:val="FootnoteText"/>
        <w:bidi/>
      </w:pPr>
      <w:r>
        <w:rPr>
          <w:rStyle w:val="FootnoteReference"/>
        </w:rPr>
        <w:footnoteRef/>
      </w:r>
      <w:r>
        <w:rPr>
          <w:rtl/>
        </w:rPr>
        <w:t xml:space="preserve"> </w:t>
      </w:r>
      <w:r>
        <w:rPr>
          <w:rtl/>
        </w:rPr>
        <w:t xml:space="preserve">این‌ها که همواره درباره «تشکّل» و «بسیج» و «سازماندهی توده‌ها» تئوری بافی‌های خرافی می‌کنند در اینگونه مواقع نادری که از آسمانِ تئوری فرود می‌آیند، می‌توان فهمید که چه درک حقیر و پیش پا افتاده‌ای از این واژه‌ها دارند. «اقلیت» از بسیج توده‌ها، فرا خواندن آن‌ها بر سر چهار راه‌ها را می‌فهمد در حالی که بسیج توده‌ها در مارکسیسم به معنی متشکّل کردن آنها تحت رهبری معین و با اهداف مشخص است. جالب این است که وقتی چند ماه پس از این عملیات بالاخره مسعود رجوی ناگزیر شد برای توجیه آنها حرفی بزند او هم آنها را به «تدارک قیام» نسبت داد. </w:t>
      </w:r>
    </w:p>
  </w:footnote>
  <w:footnote w:id="65">
    <w:p>
      <w:pPr>
        <w:pStyle w:val="FootnoteText"/>
        <w:bidi/>
      </w:pPr>
      <w:r>
        <w:rPr>
          <w:rStyle w:val="FootnoteReference"/>
        </w:rPr>
        <w:footnoteRef/>
      </w:r>
      <w:r>
        <w:rPr>
          <w:rtl/>
        </w:rPr>
        <w:t xml:space="preserve"> </w:t>
      </w:r>
      <w:r>
        <w:rPr>
          <w:rtl/>
        </w:rPr>
        <w:t xml:space="preserve">راستی چرا «اقلیت» که به این خوبی خودش تاکتیک‌های مسلّحانه و هدف‌های این تاکتیک‌ها را می‌شناخت، شخصاً وارد عمل نمیشد و در همان میدان مبارزه به مجاهدین درس تاکتیک نمی‌داد؟ «اقلیت»، هرگز این سؤال را مطرح نمی‌کند تا بخواهد آن را پاسخ دهد. گاه و بیگاه اشاره هائی به وضعیت نابسامان پس از انشعاب می‌کنند ولی در این زمان دیگر یک سال و نیم از انشعاب گذشته، وانگهی این با اذعان «اقلیت» در مورد «بزرگترین سازمان سراسری» تطبیق نمی‌کند. به هر حال از آن زمان تاکنون در خارج از کردستان تنها عمل مسلّحانه‌ای که ما از «اقلیت» در دست داریم «حمله به سفارت ژاپن» است که با هیچیک از دو هدفی که در این مرحله برای تاکتیک مسلّحانه از طرف «اقلیت» تعیین شده یعنی ترور رهبران باندهای سیاه و آموزش فرماندهان جنگ‌های آینده تطبیق نمی‌کند. </w:t>
      </w:r>
    </w:p>
  </w:footnote>
  <w:footnote w:id="66">
    <w:p>
      <w:pPr>
        <w:pStyle w:val="FootnoteText"/>
        <w:bidi/>
      </w:pPr>
      <w:r>
        <w:rPr>
          <w:rStyle w:val="FootnoteReference"/>
        </w:rPr>
        <w:footnoteRef/>
      </w:r>
      <w:r>
        <w:rPr>
          <w:rtl/>
        </w:rPr>
        <w:t xml:space="preserve"> </w:t>
      </w:r>
      <w:r>
        <w:rPr>
          <w:rtl/>
        </w:rPr>
        <w:t xml:space="preserve">خوشبختانه «اقلیت» با همه تئوری بافی‌هایش در مورد «جوخه‌های رزمی»، خودش اسیر این پرووکاسیون (provocation) نشده و دست به عملی نزد. </w:t>
      </w:r>
    </w:p>
  </w:footnote>
  <w:footnote w:id="68">
    <w:p>
      <w:pPr>
        <w:pStyle w:val="FootnoteText"/>
        <w:bidi/>
      </w:pPr>
      <w:r>
        <w:rPr>
          <w:rStyle w:val="FootnoteReference"/>
        </w:rPr>
        <w:footnoteRef/>
      </w:r>
      <w:r>
        <w:rPr>
          <w:rtl/>
        </w:rPr>
        <w:t xml:space="preserve"> </w:t>
      </w:r>
      <w:r>
        <w:rPr>
          <w:rtl/>
        </w:rPr>
        <w:t xml:space="preserve">در تاریخ ۱۴ اسفند ۱۳۶۱ در نشریه کار، شماره ۱۶۴ از قول پلنوم آمده: «طی یکسال پس از نخستین کنگره سازمان در وضعیت سیاسی جامعه و چشم انداز تحوّل اوضاع سیاسی تغییری اساسی صورت نگرفته است. بحران اقتصادی و سیاسی که از مدت‌ها پیش جامعه با آن روبه رو بوده است همچنان پا برجاست». «اقلیت» بن بست خود را در عوض کردن تاکتیک‌های خود، حتّی روی کاغذ، با ثابت و بدون تغییر تصور کردن شرایط از تیرِ۱۳۶۰ تا به امروز استتار می‌کند. </w:t>
      </w:r>
    </w:p>
  </w:footnote>
  <w:footnote w:id="69">
    <w:p>
      <w:pPr>
        <w:pStyle w:val="FootnoteText"/>
        <w:bidi/>
      </w:pPr>
      <w:r>
        <w:rPr>
          <w:rStyle w:val="FootnoteReference"/>
        </w:rPr>
        <w:footnoteRef/>
      </w:r>
      <w:r>
        <w:rPr>
          <w:rtl/>
        </w:rPr>
        <w:t xml:space="preserve"> </w:t>
      </w:r>
      <w:r>
        <w:rPr>
          <w:rtl/>
        </w:rPr>
        <w:t xml:space="preserve">و ما اطمینان می‌دهیم که بعد از این هم نخواهد داشت. </w:t>
      </w:r>
    </w:p>
  </w:footnote>
  <w:footnote w:id="70">
    <w:p>
      <w:pPr>
        <w:pStyle w:val="FootnoteText"/>
        <w:bidi/>
      </w:pPr>
      <w:r>
        <w:rPr>
          <w:rStyle w:val="FootnoteReference"/>
        </w:rPr>
        <w:footnoteRef/>
      </w:r>
      <w:r>
        <w:rPr>
          <w:rtl/>
        </w:rPr>
        <w:t xml:space="preserve"> </w:t>
      </w:r>
      <w:r>
        <w:rPr>
          <w:rtl/>
        </w:rPr>
        <w:t xml:space="preserve">انقلاب روسیه و وظایف پرولتاریا، ۲۰ مارس ۱۹۰۶، لنین - نقل شده از نبرد خلق شماره ۳. </w:t>
      </w:r>
    </w:p>
  </w:footnote>
  <w:footnote w:id="71">
    <w:p>
      <w:pPr>
        <w:pStyle w:val="FootnoteText"/>
        <w:bidi/>
      </w:pPr>
      <w:r>
        <w:rPr>
          <w:rStyle w:val="FootnoteReference"/>
        </w:rPr>
        <w:footnoteRef/>
      </w:r>
      <w:r>
        <w:rPr>
          <w:rtl/>
        </w:rPr>
        <w:t xml:space="preserve"> </w:t>
      </w:r>
      <w:r>
        <w:rPr>
          <w:rtl/>
        </w:rPr>
        <w:t xml:space="preserve">اگر قبول کنیم که «اقلیت» در صورت شکست انقلاب نمیتواند مثل لنین عقب نشینی کند آیا نباید بپذیریم که وضعیت ایران امروز با روسیه آنروز آن قدر متفاوت هست که «اقلیت» حق ندارد ادّعا کند که عیناً و به همان شکلی هم که لنین گفته میتوان «تعرض» کرد؟ لنینیست‌های واقعی از لنین درس می‌گیرند و اپورتونیست‌های «اقلیتی» از لنین تقلید می‌کنند، آن هم صرفاً روی کاغذ.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«اقلیت» در تدارک قیام!؟</dc:title>
  <dc:creator/>
  <dc:language>fa</dc:language>
  <cp:keywords/>
  <dcterms:created xsi:type="dcterms:W3CDTF">2026-06-20T20:40:37Z</dcterms:created>
  <dcterms:modified xsi:type="dcterms:W3CDTF">2026-06-20T20:40:37Z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