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1">
    <w:p>
      <w:pPr>
        <w:pStyle w:val="FootnoteText"/>
        <w:bidi/>
      </w:pPr>
      <w:r>
        <w:rPr>
          <w:rStyle w:val="FootnoteReference"/>
        </w:rPr>
        <w:footnoteRef/>
      </w:r>
      <w:r>
        <w:rPr>
          <w:rtl/>
        </w:rPr>
        <w:t xml:space="preserve"> </w:t>
      </w:r>
      <w:r>
        <w:rPr>
          <w:rtl/>
        </w:rPr>
        <w:t xml:space="preserve">ضمیمه پیکار شماره ۳۳ </w:t>
      </w:r>
    </w:p>
  </w:footnote>
  <w:footnote w:id="12">
    <w:p>
      <w:pPr>
        <w:pStyle w:val="FootnoteText"/>
        <w:bidi/>
      </w:pPr>
      <w:r>
        <w:rPr>
          <w:rStyle w:val="FootnoteReference"/>
        </w:rPr>
        <w:footnoteRef/>
      </w:r>
      <w:r>
        <w:rPr>
          <w:rtl/>
        </w:rPr>
        <w:t xml:space="preserve"> </w:t>
      </w:r>
      <w:r>
        <w:rPr>
          <w:rtl/>
        </w:rPr>
        <w:t xml:space="preserve">تجربه مبارزه مردم قهرمان تبریز از جمله مثال‌های عینی است. مردم تبریز در جریان مبارزات خود چهره ضد خلق را بهتر شناختند، اما به موازات آن نسبت به سازمان‌هایی که اصالت این جنبش را انکار می‌نمودند، بدبین شده و حتی احساس کینه و نفرت می‌کنند. </w:t>
      </w:r>
    </w:p>
  </w:footnote>
  <w:footnote w:id="13">
    <w:p>
      <w:pPr>
        <w:pStyle w:val="FootnoteText"/>
        <w:bidi/>
      </w:pPr>
      <w:r>
        <w:rPr>
          <w:rStyle w:val="FootnoteReference"/>
        </w:rPr>
        <w:footnoteRef/>
      </w:r>
      <w:r>
        <w:rPr>
          <w:rtl/>
        </w:rPr>
        <w:t xml:space="preserve"> </w:t>
      </w:r>
      <w:r>
        <w:rPr>
          <w:rtl/>
        </w:rPr>
        <w:t xml:space="preserve">ضمیمه پیکار ۳۴ </w:t>
      </w:r>
    </w:p>
  </w:footnote>
  <w:footnote w:id="14">
    <w:p>
      <w:pPr>
        <w:pStyle w:val="FootnoteText"/>
        <w:bidi/>
      </w:pPr>
      <w:r>
        <w:rPr>
          <w:rStyle w:val="FootnoteReference"/>
        </w:rPr>
        <w:footnoteRef/>
      </w:r>
      <w:r>
        <w:rPr>
          <w:rtl/>
        </w:rPr>
        <w:t xml:space="preserve"> </w:t>
      </w:r>
      <w:r>
        <w:rPr>
          <w:rtl/>
        </w:rPr>
        <w:t xml:space="preserve">پیکار شماره ۳۴ </w:t>
      </w:r>
    </w:p>
  </w:footnote>
  <w:footnote w:id="15">
    <w:p>
      <w:pPr>
        <w:pStyle w:val="FootnoteText"/>
        <w:bidi/>
      </w:pPr>
      <w:r>
        <w:rPr>
          <w:rStyle w:val="FootnoteReference"/>
        </w:rPr>
        <w:footnoteRef/>
      </w:r>
      <w:r>
        <w:rPr>
          <w:rtl/>
        </w:rPr>
        <w:t xml:space="preserve"> </w:t>
      </w:r>
      <w:r>
        <w:rPr>
          <w:rtl/>
        </w:rPr>
        <w:t xml:space="preserve">پیکار شماره ۳۴ </w:t>
      </w:r>
    </w:p>
  </w:footnote>
  <w:footnote w:id="17">
    <w:p>
      <w:pPr>
        <w:pStyle w:val="FootnoteText"/>
        <w:bidi/>
      </w:pPr>
      <w:r>
        <w:rPr>
          <w:rStyle w:val="FootnoteReference"/>
        </w:rPr>
        <w:footnoteRef/>
      </w:r>
      <w:r>
        <w:rPr>
          <w:rtl/>
        </w:rPr>
        <w:t xml:space="preserve"> </w:t>
      </w:r>
      <w:r>
        <w:rPr>
          <w:rtl/>
        </w:rPr>
        <w:t xml:space="preserve">البته تذکر دهیم که این ترکیب و حتی مصادیق عینی آن، با کمی پس و پیش و حک و اصلاح، عینا از روی آثار لنین رونویسی شده و صد البته حکّ و اصلاح و پس و پیش کردن آن برای «تطبیق» دادن آن با «شرایط مشخص» بوده است. اما با وصف این، عجیب نخواهد بود که در شرایط جامعه ما این ترکیب را «ابداع» و «اختراعِ» آقایان بدانیم. </w:t>
      </w:r>
    </w:p>
  </w:footnote>
  <w:footnote w:id="18">
    <w:p>
      <w:pPr>
        <w:pStyle w:val="FootnoteText"/>
        <w:bidi/>
      </w:pPr>
      <w:r>
        <w:rPr>
          <w:rStyle w:val="FootnoteReference"/>
        </w:rPr>
        <w:footnoteRef/>
      </w:r>
      <w:r>
        <w:rPr>
          <w:rtl/>
        </w:rPr>
        <w:t xml:space="preserve"> </w:t>
      </w:r>
      <w:r>
        <w:rPr>
          <w:rtl/>
        </w:rPr>
        <w:t xml:space="preserve">تکیه از ماست، نقل از مقاله دعوای ولایت فقیه.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«بورژوازی لیبرال»؟!...</dc:title>
  <dc:creator/>
  <dc:language>fa</dc:language>
  <cp:keywords/>
  <dcterms:created xsi:type="dcterms:W3CDTF">2026-06-20T20:40:29Z</dcterms:created>
  <dcterms:modified xsi:type="dcterms:W3CDTF">2026-06-20T20:40:29Z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