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از قطعنامه‌های مصوب کنگره دوم سازمان انقلابی زحمتکشان کردستان ایران (کومه‌له)، نیمه اول فروردین ماه ۶۰. در دنباله همین مطلب بدرستی می‌افزاید که: «امّا شناخت ما از مناسبات تولیدی ایران هنوز ناکافی می‌باشد، عاملی که خود مانع تحلیل همه جانبه دولت در ایران میگردد.» ما سعی خواهیم کرد که در این نوشته صحت این اعتراف صادقانه را نشان دهیم. ولی همین جا تذکر دهیم که کومه‌له خود این مطلب را فراموش می‌کند و در همه جا چنان برخورد میکند که گویی «مناسبات تولیدی» ایران را کاملاً می‌شناسد و دولت را نیز «همه جانبه» تحلیل کرده است. </w:t>
      </w:r>
    </w:p>
  </w:footnote>
  <w:footnote w:id="12">
    <w:p>
      <w:pPr>
        <w:pStyle w:val="FootnoteText"/>
        <w:bidi/>
      </w:pPr>
      <w:r>
        <w:rPr>
          <w:rStyle w:val="FootnoteReference"/>
        </w:rPr>
        <w:footnoteRef/>
      </w:r>
      <w:r>
        <w:rPr>
          <w:rtl/>
        </w:rPr>
        <w:t xml:space="preserve"> </w:t>
      </w:r>
      <w:r>
        <w:rPr>
          <w:rtl/>
        </w:rPr>
        <w:t xml:space="preserve">در مورد روابط تولیدی در روستاهای ایران، استثنائاً نزد کومه‌له تحلیل‌هایی می‌بینیم که بعداً به آنها اشاره خواهیم کرد ولی مخصوصاً در مورد «مناسبات تولیدی» در کل جامعه و در زمینه صنعت که مستقیماً به موقعیت پرولتاریا و بورژوازی وابسته به امپریالیسم یا به قول کومه‌له «سرمایه انحصاری» مربوط میشود، تحلیل ارائه نمی‌شود. </w:t>
      </w:r>
    </w:p>
  </w:footnote>
  <w:footnote w:id="13">
    <w:p>
      <w:pPr>
        <w:pStyle w:val="FootnoteText"/>
        <w:bidi/>
      </w:pPr>
      <w:r>
        <w:rPr>
          <w:rStyle w:val="FootnoteReference"/>
        </w:rPr>
        <w:footnoteRef/>
      </w:r>
      <w:r>
        <w:rPr>
          <w:rtl/>
        </w:rPr>
        <w:t xml:space="preserve"> </w:t>
      </w:r>
      <w:r>
        <w:rPr>
          <w:rtl/>
        </w:rPr>
        <w:t xml:space="preserve">کومه‌له حتّی به پایان رسیدن «انقلاب دمکراتیک» را نیز نه از تحلیل «مناسبات تولیدی» بلکه از روی آمادگی عملی پرولتاریا استنتاج میکند: «انقلاب دمکراتیک هنگامی به پیروزی رسیده است که پرولتاریا بتواند گام بعدی یعنی برنامه حداکثر خود را آغاز نماید.» (ص ۱۰) </w:t>
      </w:r>
    </w:p>
  </w:footnote>
  <w:footnote w:id="14">
    <w:p>
      <w:pPr>
        <w:pStyle w:val="FootnoteText"/>
        <w:bidi/>
      </w:pPr>
      <w:r>
        <w:rPr>
          <w:rStyle w:val="FootnoteReference"/>
        </w:rPr>
        <w:footnoteRef/>
      </w:r>
      <w:r>
        <w:rPr>
          <w:rtl/>
        </w:rPr>
        <w:t xml:space="preserve"> </w:t>
      </w:r>
      <w:r>
        <w:rPr>
          <w:rtl/>
        </w:rPr>
        <w:t xml:space="preserve">آیا از بین بردن «شرایط تولید فوق سود امپریالیستی» به معنای از بین بردن آن «مناسبات تولیدی» ‌ای نیست که در یک جانب آن سرمایه امپریالیستی و در جانب دیگر آن کشور تحت سلطه و یا لااقل پرولتاریای این کشور قرار دارد؟ مثلاً میتوان «شرایط تولید فوق سود امپریالیستی» را از بین برد، ولی «شرایط تولید سود امپریالیستی» را بر جای گذاشت؟ </w:t>
      </w:r>
    </w:p>
  </w:footnote>
  <w:footnote w:id="15">
    <w:p>
      <w:pPr>
        <w:pStyle w:val="FootnoteText"/>
        <w:bidi/>
      </w:pPr>
      <w:r>
        <w:rPr>
          <w:rStyle w:val="FootnoteReference"/>
        </w:rPr>
        <w:footnoteRef/>
      </w:r>
      <w:r>
        <w:rPr>
          <w:rtl/>
        </w:rPr>
        <w:t xml:space="preserve"> </w:t>
      </w:r>
      <w:r>
        <w:rPr>
          <w:rtl/>
        </w:rPr>
        <w:t xml:space="preserve">ما مجموعه این طبقات را در این مرحله «خلق» می‌نامیم. این بدان معنا نیست که هویت طبقاتی جداگانه آن‌ها را نمی‌شناسیم. ما همواره بر این امر تأکید می‌کنیم که این اتّحاد موقتی است، فقط ویژه مرحله مبارزه ضدامپریالیستی و دمکراتیک است، ولی آنها که همواره می‌خواهند صف‌ها را مخلوط کنند ما را متهم می‌کنند که با بکار بردن کلمه خلق گویا صفها را مخلوط می‌کنیم، اینجا می‌بینیم که کومله نیز طبقات و اقشاری را که در این مرحله خلق را می‌سازند،کم و بیش، می‌شمارد بدون آنکه این کلمه را بکار برد. </w:t>
      </w:r>
    </w:p>
  </w:footnote>
  <w:footnote w:id="16">
    <w:p>
      <w:pPr>
        <w:pStyle w:val="FootnoteText"/>
        <w:bidi/>
      </w:pPr>
      <w:r>
        <w:rPr>
          <w:rStyle w:val="FootnoteReference"/>
        </w:rPr>
        <w:footnoteRef/>
      </w:r>
      <w:r>
        <w:rPr>
          <w:rtl/>
        </w:rPr>
        <w:t xml:space="preserve"> </w:t>
      </w:r>
      <w:r>
        <w:rPr>
          <w:rtl/>
        </w:rPr>
        <w:t xml:space="preserve">«اتّحاد مبارزان کمونیست» که با این طمطراق از برنامه خود سخن می‌گوید در این مسئله اساسی که چگونه میتوان بدون تغییر بنیادیِ «مناسبات تولیدیِ» کنونی شرایط تحقق این برنامه را فراهم کرد، ساکت است. ظاهراً این سازمان لزومی به «تغییر بنیادى» «مناسبات تولیدی» نمی‌بیند. جالب است که این سازمان به این جمله لنین استناد میکند که «برنامه»، «تصویر روشنی از هدف نهایی، شناخت صحیح از راه رسیدن به آن هدف و مفهوم دقیقی از شرایط واقعی آن نقطه یا وظایف فوری جنبش» است و برنامۀ خود را با عبارت «پیشروترین ادراکات برنامه‌ای» می‌ستاید. بدون آنکه در نظر آورد در این «پیشروترین سطح ادراکات برنامه‌ای» هیچ صحبتی از «راه رسیدن به آن هدف» نمی‌شود چه رسد به «شناخت صحیح» مورد نظر لنین از این راه (رجوع کنید به «برنامه اتّحاد مبارزان کمونیست» فروردین ۶۰ ص ۲۱ و ۲۳) </w:t>
      </w:r>
    </w:p>
  </w:footnote>
  <w:footnote w:id="17">
    <w:p>
      <w:pPr>
        <w:pStyle w:val="FootnoteText"/>
        <w:bidi/>
      </w:pPr>
      <w:r>
        <w:rPr>
          <w:rStyle w:val="FootnoteReference"/>
        </w:rPr>
        <w:footnoteRef/>
      </w:r>
      <w:r>
        <w:rPr>
          <w:rtl/>
        </w:rPr>
        <w:t xml:space="preserve"> </w:t>
      </w:r>
      <w:r>
        <w:rPr>
          <w:rtl/>
        </w:rPr>
        <w:t xml:space="preserve">با توجه به تمام نوشتجات کومه‌له، منظور از بورژوازی در اینجا همان «سرمایۀ انحصاری» و یا سرمایۀ مپریالیستی است. </w:t>
      </w:r>
    </w:p>
  </w:footnote>
  <w:footnote w:id="18">
    <w:p>
      <w:pPr>
        <w:pStyle w:val="FootnoteText"/>
        <w:bidi/>
      </w:pPr>
      <w:r>
        <w:rPr>
          <w:rStyle w:val="FootnoteReference"/>
        </w:rPr>
        <w:footnoteRef/>
      </w:r>
      <w:r>
        <w:rPr>
          <w:rtl/>
        </w:rPr>
        <w:t xml:space="preserve"> </w:t>
      </w:r>
      <w:r>
        <w:rPr>
          <w:rtl/>
        </w:rPr>
        <w:t xml:space="preserve">البتّه در پیشرو شماره ۲، ۱۰ مرداد ۶۰، ص ۲۴ می‌خوانیم «دیکتاتوری بورژوایی در عیان‌ترین، ارتجاعی‌ترین و وحشیانه‌ترین اشکال در کشورهای تحت سلطه، خواه در این کشورها روابط فئودالی از بین رفته باشد یا هنوز به حیات خود ادامه دهد و خواه حکومت آنها از لحاظ سیاسی به یکی از دولتهای متروپل مستقیماً وابسته باشد یا نه - لازمه حفظ و گسترش منافع سرمایه انحصاری و حفظ نظام سرمایه‌داری در این کشورهاست.» (تأکید از ماست) ولی ظاهراً این‌گونه سخنان را نباید جدی گرفت. «تناسب قوای طبقات» میتواند مانع اعمال این دیکتاتوری شود. </w:t>
      </w:r>
    </w:p>
  </w:footnote>
  <w:footnote w:id="19">
    <w:p>
      <w:pPr>
        <w:pStyle w:val="FootnoteText"/>
        <w:bidi/>
      </w:pPr>
      <w:r>
        <w:rPr>
          <w:rStyle w:val="FootnoteReference"/>
        </w:rPr>
        <w:footnoteRef/>
      </w:r>
      <w:r>
        <w:rPr>
          <w:rtl/>
        </w:rPr>
        <w:t xml:space="preserve"> </w:t>
      </w:r>
      <w:r>
        <w:rPr>
          <w:rtl/>
        </w:rPr>
        <w:t xml:space="preserve">کومله‌له برای نامطلوب بودن رژیم جمهوری اسلامی برای سرمایه انحصاری دلائل دیگری هم دارد که فعلاً به آنها نمی‌پردازیم ولی در تبلیغات اخیر خود مخصوصاً روی این تکیه میکند که چون این رژیم نتوانسته توده‌ها را سرکوب کند، رژیم مطلوب‌تری لازم است. کومه‌له در نظر نمی‌گیرد که این رژیم همه آنچه که امپریالیزم برای سرکوب در اختیار دارد، با تمام نیرو، بکار انداخته ولی این جنبش خلق است که امکان سرکوبی سهل و آسان را به وی نمیدهد. کومه‌له مرتبا به خواننده خود چنین القا میکند که گویا امپریالیزم می‌تواند آن چنان رژیمی را سر کار آورد که به مجرد ورود به صحنه نظم دلخواه سرمایه را برقرار نماید. با این تصور، کومه‌له همراه بسیاری از سازمانهای دیگر لبه تبلیغات خود را بر ضدّ این رژیم کند میکند. بسیاری از سازمانها که تا دیروز با خرده‌بورژوایی دانستن پایگاه طبقاتی این رژیم آن را در نزد توده‌ها به نوعی تطهیر میکردند، امروز هم که دیگر آن حرفها شنونده‌ای ندارد، با عنوان کردن اینکه گویا این رژیم با روبنای سیاسی سرمایه‌داری وابسته تطبیق نمیکند، اجازه نمی‌دهند توده‌ها دقیقا ماهیت دشمن خود را بشناسند. ما بعداً به این موضوع باز خواهیم گشت. </w:t>
      </w:r>
    </w:p>
  </w:footnote>
  <w:footnote w:id="20">
    <w:p>
      <w:pPr>
        <w:pStyle w:val="FootnoteText"/>
        <w:bidi/>
      </w:pPr>
      <w:r>
        <w:rPr>
          <w:rStyle w:val="FootnoteReference"/>
        </w:rPr>
        <w:footnoteRef/>
      </w:r>
      <w:r>
        <w:rPr>
          <w:rtl/>
        </w:rPr>
        <w:t xml:space="preserve"> </w:t>
      </w:r>
      <w:r>
        <w:rPr>
          <w:rtl/>
        </w:rPr>
        <w:t xml:space="preserve">کومه‌له در این قطعنامه به نحو زیرکانه‌ای با قرار دادن کارگران و دهقانان فقیر در مرکز مسأله، خواسته است از احساسات کارگر دوستی خوانندگان خود بهره برداری کند. مسأله دهقانان در کلیت خود فقط به کارگران و دهقانان فقیر ختم نمی‌شود و کومه‌له در این برنامه خود چیزی از دیگران نمی‌گوید. </w:t>
      </w:r>
    </w:p>
  </w:footnote>
  <w:footnote w:id="21">
    <w:p>
      <w:pPr>
        <w:pStyle w:val="FootnoteText"/>
        <w:bidi/>
      </w:pPr>
      <w:r>
        <w:rPr>
          <w:rStyle w:val="FootnoteReference"/>
        </w:rPr>
        <w:footnoteRef/>
      </w:r>
      <w:r>
        <w:rPr>
          <w:rtl/>
        </w:rPr>
        <w:t xml:space="preserve"> </w:t>
      </w:r>
      <w:r>
        <w:rPr>
          <w:rtl/>
        </w:rPr>
        <w:t xml:space="preserve">صرفنظر از عبارت مبهم «طبقات مرفه» در این مورد، کردستان چه خصوصیتی نسبت به جاهای دیگر ایران دارد. آیا در همه جا این «ستم و سرکوب و دیکتاتوری بی‌حدّ و حصر و بی‌بند و بار دولتی» موجود نیست؟ آیا درست به همین دلائل نمی‌توان تصور کرد که در سراسر ایران تمامی طبقاتی که در اینجا نام برده شده است، ممکن است برای «دمکراسی» مبارزه کنند و اگر چنین باشد آیا این همان جبهه واحد از طبقات گوناگون نیست که ما به قول شما پوپولیستها می‌گوییم؟ فقط ما در همین جا متوقّف نمی‌شویم و کلمه دمکراسی را به طور کلی به کار نمی‌بریم و محتوی و مضمون اقتصادی و سیاسی آن را برای هر یک از طبقات جداگانه توضیح می‌دهیم. مثلاً می‌گوییم برای دهقانان و کارگران رهایی از استثمار مضاعف امپریالیستی و آزادی تشکّل سیاسی و اقتصادی و مثلاً برای وکلای دادگستری آزادی در سخنوری را به ارمغان می‌آوریم. </w:t>
      </w:r>
    </w:p>
  </w:footnote>
  <w:footnote w:id="22">
    <w:p>
      <w:pPr>
        <w:pStyle w:val="FootnoteText"/>
        <w:bidi/>
      </w:pPr>
      <w:r>
        <w:rPr>
          <w:rStyle w:val="FootnoteReference"/>
        </w:rPr>
        <w:footnoteRef/>
      </w:r>
      <w:r>
        <w:rPr>
          <w:rtl/>
        </w:rPr>
        <w:t xml:space="preserve"> </w:t>
      </w:r>
      <w:r>
        <w:rPr>
          <w:rtl/>
        </w:rPr>
        <w:t xml:space="preserve">در مقاله از «کنگره اول تا کنگره دوم» از خود انتقاد میکند که در گذشته، «کنگره یکم در برابر سرمایه‌داری امپریالیستی آن «نوع دیگر» سرمایه‌داری را قرار می‌دهد که «نطفه»‌های آن در روابط درونی جامعه وجود دارد و از «تولید کوچک دهقانی» زاده میشود و این چیزی نیست مگر همان سرمایه‌داری «ملّی» (پیشرو ۱، صفحه ۱۳، تأکید از ماست). و ظاهراً اکنون دیگر کومه‌له به آن رشد رسیده است که بفهمد سرمایه‌داری «خوب و بد» ندارد. </w:t>
      </w:r>
    </w:p>
  </w:footnote>
  <w:footnote w:id="23">
    <w:p>
      <w:pPr>
        <w:pStyle w:val="FootnoteText"/>
        <w:bidi/>
      </w:pPr>
      <w:r>
        <w:rPr>
          <w:rStyle w:val="FootnoteReference"/>
        </w:rPr>
        <w:footnoteRef/>
      </w:r>
      <w:r>
        <w:rPr>
          <w:rtl/>
        </w:rPr>
        <w:t xml:space="preserve"> </w:t>
      </w:r>
      <w:r>
        <w:rPr>
          <w:rtl/>
        </w:rPr>
        <w:t xml:space="preserve">و مسلماً این «سگان زنجیری» پس از برقراری دمکراسی و به طریق اولی به هنگام «گذار به سوسیالیسم» ساکت نخواهند نشست ۱۴. </w:t>
      </w:r>
    </w:p>
  </w:footnote>
  <w:footnote w:id="24">
    <w:p>
      <w:pPr>
        <w:pStyle w:val="FootnoteText"/>
        <w:bidi/>
      </w:pPr>
      <w:r>
        <w:rPr>
          <w:rStyle w:val="FootnoteReference"/>
        </w:rPr>
        <w:footnoteRef/>
      </w:r>
      <w:r>
        <w:rPr>
          <w:rtl/>
        </w:rPr>
        <w:t xml:space="preserve"> </w:t>
      </w:r>
      <w:r>
        <w:rPr>
          <w:rtl/>
        </w:rPr>
        <w:t xml:space="preserve">«دولت انقلابی کارگران و زحمتکشان ایران، مطالبات فوق را به هزینه سرمایه‌داران و از جمله از طریق مصادره و ملّی کردن سرمایه‌ها در هر سطح که لازم بداند، ملّی کردن موقوفات و مقرر داشتن مالیات تصاعدی بر ارث و دارایی و بر درآمد‌های حاصله از مالکیّت وسائل تولید و مبادله تأمین خواهد کرد» (برنامه «اتّحاد مبارزان کمونیست»، ص ۲۰ج). </w:t>
      </w:r>
    </w:p>
  </w:footnote>
  <w:footnote w:id="25">
    <w:p>
      <w:pPr>
        <w:pStyle w:val="FootnoteText"/>
        <w:bidi/>
      </w:pPr>
      <w:r>
        <w:rPr>
          <w:rStyle w:val="FootnoteReference"/>
        </w:rPr>
        <w:footnoteRef/>
      </w:r>
      <w:r>
        <w:rPr>
          <w:rtl/>
        </w:rPr>
        <w:t xml:space="preserve"> </w:t>
      </w:r>
      <w:r>
        <w:rPr>
          <w:rtl/>
        </w:rPr>
        <w:t xml:space="preserve">منتقدین دیروزی «مشی چریکی» در تب و تاب حاصله از تصور نزدیکی قیام فراموش می‌کنند که هنوز «حزب طبقه کارگر» تشکیل نشده، دستور «آغاز» جنگ مسلّحانه را می‌دهند.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03">
    <w:nsid w:val="00A99203"/>
    <w:multiLevelType w:val="multilevel"/>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نقدی بر دیدگاه‌های «کومه‌له» (سازمان انقلابی زحمتکشان ایران)</dc:title>
  <dc:creator/>
  <dc:language>fa</dc:language>
  <cp:keywords/>
  <dcterms:created xsi:type="dcterms:W3CDTF">2026-06-20T20:40:34Z</dcterms:created>
  <dcterms:modified xsi:type="dcterms:W3CDTF">2026-06-20T20:40:34Z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