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2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«به تاریخ عثمانی‌ها نگاه کنید و ببینید که پس از این صدمه‌ها و حوادث ناگوار — حمله تاتارها و جنگهای صلیبی — چگونه توانستند قیام کنند و سربازان خود را به نقاط دور افتادهٔ جهان بفرستند و میدان فتوحاتشان گسترش یابد و سرزمینها را آزاد سازند و حکومتها و دولتهای یاغی و ستمگر را سرکوب نمایند و حتّی دولتهای اروپائی را هم وادار به تسلیم کنند و کارشان بجائی برسد که «سلطان بزرگ» لقب گیرند!» (مقالهٔ قضا و قَدَر،</w:t>
      </w:r>
      <w:r>
        <w:rPr>
          <w:rtl/>
        </w:rPr>
        <w:t xml:space="preserve"> </w:t>
      </w:r>
      <w:r>
        <w:rPr>
          <w:i/>
          <w:iCs/>
          <w:rtl/>
        </w:rPr>
        <w:t xml:space="preserve">اسلام و علم</w:t>
      </w:r>
      <w:r>
        <w:rPr>
          <w:rtl/>
        </w:rPr>
        <w:t xml:space="preserve">، صفحات ۱۵۴ و ۱۵۵). </w:t>
      </w:r>
    </w:p>
  </w:footnote>
  <w:footnote w:id="10">
    <w:p>
      <w:pPr>
        <w:pStyle w:val="FootnoteText"/>
        <w:bidi/>
      </w:pPr>
      <w:r>
        <w:rPr>
          <w:rStyle w:val="FootnoteReference"/>
        </w:rPr>
        <w:footnoteRef/>
      </w:r>
      <w:r>
        <w:rPr>
          <w:rtl/>
        </w:rPr>
        <w:t xml:space="preserve"> </w:t>
      </w:r>
      <w:r>
        <w:rPr>
          <w:rtl/>
        </w:rPr>
        <w:t xml:space="preserve">عده‌ای تصور می‌کنند که استعمار اروپائی در کشورهای مستعمره و نیمه‌مستعمره طبیعتاً حامی فئودالیسم بوده است. این تصور از آنجا ناشی شده است که در گذشته بارها استعمار اروپائی در سرکوب نیروهای مترقی به فئودالیسم حاکم کمک کرده است. ولی حقیقت این است که بورژوازی اروپائی به هر سرزمینی که وارد میشد بنا به اقتضای طبیعت خود — یعنی تولید کالائی — می‌کوشید تا در این سرزمینهای عقب مانده روابط کالائی را گسترش دهد و این کار به بهترین شکل با منافع او که گسترش بازار کالاها بهترین ضامن آن بود، کاملا مطابقت داشت. لیکن، بورژوازی اروپائی آن هوشمندی را داشت که بفهمد نفوذ یک نیروی بیگانه در کشوری دیگر جز از طریق نیروهای داخلی آن کشور[امکان نداشت]. راز همدستی بورژوازی اروپائی با فئودالیسم حاکم در کشورهای مشرق زمین در همین امر نهفته است. این فئودالیسم تنها نیروئی بود که حاضر بود خود را در اختیار بیگانه بگذارد و وسائل نفوذ وی را به کشور فراهم سازد در حالیکه بورژوازی نوپا و سایر نیروهای مترقی با این نفوذ مخالفت داشتند. پس اتّحاد بورژوازی اروپا با فئودالیسم این کشورها یک اتّحاد تاکتیکی است و بمحض آنکه بورژوازیِ استعمارگر بتواند در داخلهٔ کشور تحت نفوذ خویش یک بورژوازی وابسته و نوکر‌صفت بوجود آورد از حمایت فئودالیسم دست برخواهد داشت و حتّی خود شخصاً به انهدام آن مبادرت خواهد نمود.</w:t>
      </w:r>
    </w:p>
    <w:p>
      <w:pPr>
        <w:pStyle w:val="FootnoteText"/>
        <w:bidi/>
      </w:pPr>
      <w:r>
        <w:rPr>
          <w:rtl/>
        </w:rPr>
        <w:t xml:space="preserve">حال اگر می‌بینیم بورژوازی اروپا از دولت عثمانی تقاضای «اصلاحات» دارد بهیچوجه نباید تعجب کنیم و نباید به این فکر هم بیفتیم که گویا اروپائیان خواهان پیشرفت اجتماعی عثمانی هستند. این اصلاحات برای گسترش بازار و نتیجتاً گسترش زمینه بهره‌کشی سرمایه‌داری لازم است — در اینجا برخورد می‌کنیم با بغرنجی روابط طبقات جامعهٔ نیمه‌مستعمره با کشورهای استعمارگر: بورژوازی اروپائی و بورژوازی ملّی ترکیه، با وجود همهٔ تضادّ منافع، هر‌دو در یک تقاضا هم‌صدا هستند و آن تضمین مالکیّت خصوصی و آزادی معاملات است. </w:t>
      </w:r>
    </w:p>
  </w:footnote>
  <w:footnote w:id="11">
    <w:p>
      <w:pPr>
        <w:pStyle w:val="FootnoteText"/>
        <w:bidi/>
      </w:pPr>
      <w:r>
        <w:rPr>
          <w:rStyle w:val="FootnoteReference"/>
        </w:rPr>
        <w:footnoteRef/>
      </w:r>
      <w:r>
        <w:rPr>
          <w:rtl/>
        </w:rPr>
        <w:t xml:space="preserve"> </w:t>
      </w:r>
      <w:r>
        <w:rPr>
          <w:rtl/>
        </w:rPr>
        <w:t xml:space="preserve">ترکهای جوان، علاوه بر سایر چیزها، این فکر امپراتوری عثمانی را نیز حفظ کردند. غافل از اینکه این آخرین قمار امپراتوری است که به باخت کلی منجر خواهد شد. جنگ عثمانی با انگلیس تا حدودی بمعنای جنگ با علت وجودی خود او بود و مرگ عثمانی را نتیجه داشت. هر‌چند امپراتوری عثمانی اگر به جنگ با انگلیس هم دست نمیزد باز مرگش حتمی بود. علیرغم قدرت‌نمائی‌ها و بند‌و‌بستهای دولتها، شرائط اجتماعی و اقتصادی در کار است که در مقابل آن همهٔ این کوششها زودگذر جلوه می‌کند. حقیقت این بود که شراط اجتماعی و اقتصادی موجودیت امپراتوری عثمانی در اواخر قرن نوزدهم و اوائل قرن بیستم دیگر بکلی از بین رفته بود. یکی از اشتباهات جمال‌الدین عدم درک</w:t>
      </w:r>
      <w:r>
        <w:rPr>
          <w:rtl/>
        </w:rPr>
        <w:t xml:space="preserve"> </w:t>
      </w:r>
      <w:r>
        <w:rPr>
          <w:i/>
          <w:iCs/>
          <w:rtl/>
        </w:rPr>
        <w:t xml:space="preserve">واقعی</w:t>
      </w:r>
      <w:r>
        <w:rPr>
          <w:rtl/>
        </w:rPr>
        <w:t xml:space="preserve"> </w:t>
      </w:r>
      <w:r>
        <w:rPr>
          <w:rtl/>
        </w:rPr>
        <w:t xml:space="preserve">همین امر بود. </w:t>
      </w:r>
    </w:p>
  </w:footnote>
  <w:footnote w:id="12">
    <w:p>
      <w:pPr>
        <w:pStyle w:val="FootnoteText"/>
        <w:bidi/>
      </w:pPr>
      <w:r>
        <w:rPr>
          <w:rStyle w:val="FootnoteReference"/>
        </w:rPr>
        <w:footnoteRef/>
      </w:r>
      <w:r>
        <w:rPr>
          <w:rtl/>
        </w:rPr>
        <w:t xml:space="preserve"> </w:t>
      </w:r>
      <w:r>
        <w:rPr>
          <w:rtl/>
        </w:rPr>
        <w:t xml:space="preserve">اتّحاد اسلامی، بدان‌صورتی که جمال‌الدین آن را تبلیغ می‌کرد، از یک‌سو اتحادی بود برای مبارزه با استعمار اروپائی و این جنبهٔ مترقی این آموزش است، و از سوئی دیگر تمام ملل اسلامی را تحت رهبری واحد خلافت اسلامی — یعنی حکومت در عین حال سیاسی و مذهبی — در می‌آورد بدون آن که در نظام اجتماعی‌– اقتصادی تغییر اساسی بوجود آورده باشد — و این جنبهٔ ارتجاعی آموزش اوست و سلطان عبدالحمید می‌خواست از این جنبهٔ اخیر سود جوید. </w:t>
      </w:r>
    </w:p>
  </w:footnote>
  <w:footnote w:id="16">
    <w:p>
      <w:pPr>
        <w:pStyle w:val="FootnoteText"/>
        <w:bidi/>
      </w:pPr>
      <w:r>
        <w:rPr>
          <w:rStyle w:val="FootnoteReference"/>
        </w:rPr>
        <w:footnoteRef/>
      </w:r>
      <w:r>
        <w:rPr>
          <w:rtl/>
        </w:rPr>
        <w:t xml:space="preserve"> </w:t>
      </w:r>
      <w:r>
        <w:rPr>
          <w:rtl/>
        </w:rPr>
        <w:t xml:space="preserve">در</w:t>
      </w:r>
      <w:r>
        <w:rPr>
          <w:rtl/>
        </w:rPr>
        <w:t xml:space="preserve"> </w:t>
      </w:r>
      <w:r>
        <w:rPr>
          <w:i/>
          <w:iCs/>
          <w:rtl/>
        </w:rPr>
        <w:t xml:space="preserve">تاریخ بیداری ایرانیان</w:t>
      </w:r>
      <w:r>
        <w:rPr>
          <w:rtl/>
        </w:rPr>
        <w:t xml:space="preserve"> </w:t>
      </w:r>
      <w:r>
        <w:rPr>
          <w:rtl/>
        </w:rPr>
        <w:t xml:space="preserve">این کلمه، «کُزاز» ضبط شده است. </w:t>
      </w:r>
    </w:p>
  </w:footnote>
  <w:footnote w:id="17">
    <w:p>
      <w:pPr>
        <w:pStyle w:val="FootnoteText"/>
        <w:bidi/>
      </w:pPr>
      <w:r>
        <w:rPr>
          <w:rStyle w:val="FootnoteReference"/>
        </w:rPr>
        <w:footnoteRef/>
      </w:r>
      <w:r>
        <w:rPr>
          <w:rtl/>
        </w:rPr>
        <w:t xml:space="preserve"> </w:t>
      </w:r>
      <w:r>
        <w:rPr>
          <w:rtl/>
        </w:rPr>
        <w:t xml:space="preserve">ما در بخشهای بعدی این پایان نامه راجع به چگونگی نقش جمال‌الدین در قتل ناصر‌الدین شاه صحبت خواهیم کرد. </w:t>
      </w:r>
    </w:p>
  </w:footnote>
  <w:footnote w:id="18">
    <w:p>
      <w:pPr>
        <w:pStyle w:val="FootnoteText"/>
        <w:bidi/>
      </w:pPr>
      <w:r>
        <w:rPr>
          <w:rStyle w:val="FootnoteReference"/>
        </w:rPr>
        <w:footnoteRef/>
      </w:r>
      <w:r>
        <w:rPr>
          <w:rtl/>
        </w:rPr>
        <w:t xml:space="preserve"> </w:t>
      </w:r>
      <w:r>
        <w:rPr>
          <w:rtl/>
        </w:rPr>
        <w:t xml:space="preserve">رجوع شود به صورت تلگرافهای مندرج در کتاب سیاستگرانِ دورهٔ قاجار، نوشتهٔ خان ملک ساسانی </w:t>
      </w:r>
    </w:p>
  </w:footnote>
  <w:footnote w:id="19">
    <w:p>
      <w:pPr>
        <w:pStyle w:val="FootnoteText"/>
        <w:bidi/>
      </w:pPr>
      <w:r>
        <w:rPr>
          <w:rStyle w:val="FootnoteReference"/>
        </w:rPr>
        <w:footnoteRef/>
      </w:r>
      <w:r>
        <w:rPr>
          <w:rtl/>
        </w:rPr>
        <w:t xml:space="preserve"> </w:t>
      </w:r>
      <w:r>
        <w:rPr>
          <w:i/>
          <w:iCs/>
          <w:rtl/>
        </w:rPr>
        <w:t xml:space="preserve">اسناد و مدارک چاپ نشده دربارهٔ سید جمال‌الدین</w:t>
      </w:r>
      <w:r>
        <w:rPr>
          <w:rtl/>
        </w:rPr>
        <w:t xml:space="preserve">، صفحهٔ ۱۵۸ </w:t>
      </w:r>
    </w:p>
  </w:footnote>
  <w:footnote w:id="20">
    <w:p>
      <w:pPr>
        <w:pStyle w:val="FootnoteText"/>
        <w:bidi/>
      </w:pPr>
      <w:r>
        <w:rPr>
          <w:rStyle w:val="FootnoteReference"/>
        </w:rPr>
        <w:footnoteRef/>
      </w:r>
      <w:r>
        <w:rPr>
          <w:rtl/>
        </w:rPr>
        <w:t xml:space="preserve"> </w:t>
      </w:r>
      <w:r>
        <w:rPr>
          <w:i/>
          <w:iCs/>
          <w:rtl/>
        </w:rPr>
        <w:t xml:space="preserve">مجموعهٔ اسناد و مدارک چاپ نشده دربارهٔ سید جمال‌الدین</w:t>
      </w:r>
      <w:r>
        <w:rPr>
          <w:rtl/>
        </w:rPr>
        <w:t xml:space="preserve">، صفحهٔ ۵۷ </w:t>
      </w:r>
    </w:p>
  </w:footnote>
  <w:footnote w:id="21">
    <w:p>
      <w:pPr>
        <w:pStyle w:val="FootnoteText"/>
        <w:bidi/>
      </w:pPr>
      <w:r>
        <w:rPr>
          <w:rStyle w:val="FootnoteReference"/>
        </w:rPr>
        <w:footnoteRef/>
      </w:r>
      <w:r>
        <w:rPr>
          <w:rtl/>
        </w:rPr>
        <w:t xml:space="preserve"> </w:t>
      </w:r>
      <w:r>
        <w:rPr>
          <w:i/>
          <w:iCs/>
          <w:rtl/>
        </w:rPr>
        <w:t xml:space="preserve">تاریخ بیداری ایرانیان</w:t>
      </w:r>
      <w:r>
        <w:rPr>
          <w:rtl/>
        </w:rPr>
        <w:t xml:space="preserve">، جلد اول، صفحهٔ ۵۳ </w:t>
      </w:r>
    </w:p>
  </w:footnote>
  <w:footnote w:id="22">
    <w:p>
      <w:pPr>
        <w:pStyle w:val="FootnoteText"/>
        <w:bidi/>
      </w:pPr>
      <w:r>
        <w:rPr>
          <w:rStyle w:val="FootnoteReference"/>
        </w:rPr>
        <w:footnoteRef/>
      </w:r>
      <w:r>
        <w:rPr>
          <w:rtl/>
        </w:rPr>
        <w:t xml:space="preserve"> </w:t>
      </w:r>
      <w:r>
        <w:rPr>
          <w:rtl/>
        </w:rPr>
        <w:t xml:space="preserve">همانجا، صفحهٔ ۶۰ </w:t>
      </w:r>
    </w:p>
  </w:footnote>
  <w:footnote w:id="23">
    <w:p>
      <w:pPr>
        <w:pStyle w:val="FootnoteText"/>
        <w:bidi/>
      </w:pPr>
      <w:r>
        <w:rPr>
          <w:rStyle w:val="FootnoteReference"/>
        </w:rPr>
        <w:footnoteRef/>
      </w:r>
      <w:r>
        <w:rPr>
          <w:rtl/>
        </w:rPr>
        <w:t xml:space="preserve"> </w:t>
      </w:r>
      <w:r>
        <w:rPr>
          <w:rtl/>
        </w:rPr>
        <w:t xml:space="preserve">برای اطلاع بیشتر در این مورد نگاه کنید به کتاب</w:t>
      </w:r>
      <w:r>
        <w:rPr>
          <w:rtl/>
        </w:rPr>
        <w:t xml:space="preserve"> </w:t>
      </w:r>
      <w:r>
        <w:rPr>
          <w:i/>
          <w:iCs/>
          <w:rtl/>
        </w:rPr>
        <w:t xml:space="preserve">اسناد و مدارک چاپ نشده دربارهٔ سید جمال‌الدین</w:t>
      </w:r>
      <w:r>
        <w:rPr>
          <w:rtl/>
        </w:rPr>
        <w:t xml:space="preserve">، نوشتهٔ صفات الله جمالی اسد‌آبادی. </w:t>
      </w:r>
    </w:p>
  </w:footnote>
  <w:footnote w:id="24">
    <w:p>
      <w:pPr>
        <w:pStyle w:val="FootnoteText"/>
        <w:bidi/>
      </w:pPr>
      <w:r>
        <w:rPr>
          <w:rStyle w:val="FootnoteReference"/>
        </w:rPr>
        <w:footnoteRef/>
      </w:r>
      <w:r>
        <w:rPr>
          <w:rtl/>
        </w:rPr>
        <w:t xml:space="preserve"> </w:t>
      </w:r>
      <w:r>
        <w:rPr>
          <w:rtl/>
        </w:rPr>
        <w:t xml:space="preserve">منعکس ساختن کلیهٔ این اسناد و بررسی آنها در اینجا از موضوع کار من خارج است و اساساً، همانطور که در بالا تذکر دادم، این بحث برای کار من اهمیتی ندارد. </w:t>
      </w:r>
    </w:p>
  </w:footnote>
  <w:footnote w:id="25">
    <w:p>
      <w:pPr>
        <w:pStyle w:val="FootnoteText"/>
        <w:bidi/>
      </w:pPr>
      <w:r>
        <w:rPr>
          <w:rStyle w:val="FootnoteReference"/>
        </w:rPr>
        <w:footnoteRef/>
      </w:r>
      <w:r>
        <w:rPr>
          <w:rtl/>
        </w:rPr>
        <w:t xml:space="preserve"> </w:t>
      </w:r>
      <w:r>
        <w:rPr>
          <w:rtl/>
        </w:rPr>
        <w:t xml:space="preserve">علت آنکه در عنوان این پایان نامه از جمال‌الدین بصورت «جمال‌الدین افغانی» یاد شده این نیست که نگارنده او را افغانی میداند بلکه علت آن است که جمال‌الدین اکنون در سراسر جهان با این نام شناخته شده است و هیچ دلیلی نداریم که او را به این صورت که در جهان مشهور شده ننامیم. </w:t>
      </w:r>
    </w:p>
  </w:footnote>
  <w:footnote w:id="26">
    <w:p>
      <w:pPr>
        <w:pStyle w:val="FootnoteText"/>
        <w:bidi/>
      </w:pPr>
      <w:r>
        <w:rPr>
          <w:rStyle w:val="FootnoteReference"/>
        </w:rPr>
        <w:footnoteRef/>
      </w:r>
      <w:r>
        <w:rPr>
          <w:rtl/>
        </w:rPr>
        <w:t xml:space="preserve"> </w:t>
      </w:r>
      <w:r>
        <w:rPr>
          <w:i/>
          <w:iCs/>
          <w:rtl/>
        </w:rPr>
        <w:t xml:space="preserve">تاریخ بیداری ایرانیان</w:t>
      </w:r>
      <w:r>
        <w:rPr>
          <w:rtl/>
        </w:rPr>
        <w:t xml:space="preserve">، صفحهٔ ۶۱، جلد اول </w:t>
      </w:r>
    </w:p>
  </w:footnote>
  <w:footnote w:id="27">
    <w:p>
      <w:pPr>
        <w:pStyle w:val="FootnoteText"/>
        <w:bidi/>
      </w:pPr>
      <w:r>
        <w:rPr>
          <w:rStyle w:val="FootnoteReference"/>
        </w:rPr>
        <w:footnoteRef/>
      </w:r>
      <w:r>
        <w:rPr>
          <w:rtl/>
        </w:rPr>
        <w:t xml:space="preserve"> </w:t>
      </w:r>
      <w:r>
        <w:rPr>
          <w:rtl/>
        </w:rPr>
        <w:t xml:space="preserve">در کتاب</w:t>
      </w:r>
      <w:r>
        <w:rPr>
          <w:rtl/>
        </w:rPr>
        <w:t xml:space="preserve"> </w:t>
      </w:r>
      <w:r>
        <w:rPr>
          <w:i/>
          <w:iCs/>
          <w:rtl/>
        </w:rPr>
        <w:t xml:space="preserve">تاریخ بیداری ایرانیان</w:t>
      </w:r>
      <w:r>
        <w:rPr>
          <w:rtl/>
        </w:rPr>
        <w:t xml:space="preserve"> </w:t>
      </w:r>
      <w:r>
        <w:rPr>
          <w:rtl/>
        </w:rPr>
        <w:t xml:space="preserve">این هم آمده است که جمال‌الدین در پاسخ سؤال اینکه چرا خود را افغانی می‌نامد گفته است که افغانی تخلص شعری اوست. مسلماً اگر چنین چیزی صحت داشته باشد جمال‌الدین برای طفره رفتن از پاسخ جدی آن را عنوان کرده است. </w:t>
      </w:r>
    </w:p>
  </w:footnote>
  <w:footnote w:id="28">
    <w:p>
      <w:pPr>
        <w:pStyle w:val="FootnoteText"/>
        <w:bidi/>
      </w:pPr>
      <w:r>
        <w:rPr>
          <w:rStyle w:val="FootnoteReference"/>
        </w:rPr>
        <w:footnoteRef/>
      </w:r>
      <w:r>
        <w:rPr>
          <w:rtl/>
        </w:rPr>
        <w:t xml:space="preserve"> </w:t>
      </w:r>
      <w:r>
        <w:rPr>
          <w:rtl/>
        </w:rPr>
        <w:t xml:space="preserve">در متن گذرنامه به زبان ترکی عیناً چنین آمده «دولت علیۀ ایران تبعه سندن». </w:t>
      </w:r>
    </w:p>
  </w:footnote>
  <w:footnote w:id="29">
    <w:p>
      <w:pPr>
        <w:pStyle w:val="FootnoteText"/>
        <w:bidi/>
      </w:pPr>
      <w:r>
        <w:rPr>
          <w:rStyle w:val="FootnoteReference"/>
        </w:rPr>
        <w:footnoteRef/>
      </w:r>
      <w:r>
        <w:rPr>
          <w:rtl/>
        </w:rPr>
        <w:t xml:space="preserve"> </w:t>
      </w:r>
      <w:r>
        <w:rPr>
          <w:rtl/>
        </w:rPr>
        <w:t xml:space="preserve">تقی‌زاده در این مورد می‌نویسد: «شاید تظاهر سید جمال‌الدین به افغانی بودن، معلول میل او بود به خودداری از انتساب به «تشیع» در ممالک هند و مصر و ترکیه و غیره که در آنجاها نقش مهمی در سیاست و ادب و حتّی در مصر در الجامع الازهر، فقه حنفی و سایر مذاهب اربعه را تدریس می‌کرد و این مقام و کار، با ایرانی‌گری و شیعه بودن سازش نداشت و بعضی هم گفته‌اند این تظاهر، برای اجتناب از تسلط مأمورین ایران در خارجه، نسبت به او و مزاحمت وی بعنوان تبعه ایران بوده که در آن اوقات این مزاحمت، نصیب غالب ایرانیان مقیم خارجه بود.» (از کتاب</w:t>
      </w:r>
      <w:r>
        <w:rPr>
          <w:rtl/>
        </w:rPr>
        <w:t xml:space="preserve"> </w:t>
      </w:r>
      <w:r>
        <w:rPr>
          <w:i/>
          <w:iCs/>
          <w:rtl/>
        </w:rPr>
        <w:t xml:space="preserve">جمال‌الدین اسدآبادی رهبر نهضت آزادیخواهی ایران</w:t>
      </w:r>
      <w:r>
        <w:rPr>
          <w:rtl/>
        </w:rPr>
        <w:t xml:space="preserve">، نوشته سید حسن تقی‌زاده، ص ۶۳)</w:t>
      </w:r>
    </w:p>
    <w:p>
      <w:pPr>
        <w:pStyle w:val="FootnoteText"/>
        <w:bidi/>
      </w:pPr>
      <w:r>
        <w:rPr>
          <w:rtl/>
        </w:rPr>
        <w:t xml:space="preserve">حاج سیاح نیز در خاطرات خود از سید جمال‌الدین می‌گوید: «آقای سید جمال‌الدین برای اینکه در بلاد عثمانی و ممالک اسلامی که اکثر مذاهب اهل سنّت دارند باسم تشیع ظاهر نشده در اتّحاد اسلامی که وجههٔ همت او بود و در نجات دادن ممالک اسلام بتواند کار کند از عمامهٔ سفید استفاده می‌کند و در ممالک شیعه از عمامهٔ سیاه که نشانه سیادت ایشان است.» (رجوع شود به سید جمال‌الدین و اندیشه‌های او، تألیف مرتضی مدرسی چهاردهی، وملحقات آن) </w:t>
      </w:r>
    </w:p>
  </w:footnote>
  <w:footnote w:id="30">
    <w:p>
      <w:pPr>
        <w:pStyle w:val="FootnoteText"/>
        <w:bidi/>
      </w:pPr>
      <w:r>
        <w:rPr>
          <w:rStyle w:val="FootnoteReference"/>
        </w:rPr>
        <w:footnoteRef/>
      </w:r>
      <w:r>
        <w:rPr>
          <w:rtl/>
        </w:rPr>
        <w:t xml:space="preserve"> </w:t>
      </w:r>
      <w:r>
        <w:rPr>
          <w:rtl/>
        </w:rPr>
        <w:t xml:space="preserve">میرزا لطف‌الله در مورد کودکی و استعداد جمال‌الدین جزئیاتی را عنوان می‌کند که مبالغه‌آمیز بنظر می‌رسد. بعید است که یک طفل بر سر مفهوم آیه</w:t>
      </w:r>
      <w:r>
        <w:rPr>
          <w:rtl/>
        </w:rPr>
        <w:t xml:space="preserve"> </w:t>
      </w:r>
      <w:r>
        <w:rPr>
          <w:i/>
          <w:iCs/>
          <w:rtl/>
        </w:rPr>
        <w:t xml:space="preserve">الم نشرح</w:t>
      </w:r>
      <w:r>
        <w:rPr>
          <w:rtl/>
        </w:rPr>
        <w:t xml:space="preserve"> </w:t>
      </w:r>
      <w:r>
        <w:rPr>
          <w:rtl/>
        </w:rPr>
        <w:t xml:space="preserve">با پدر خود به مجادله برخیزد و احیاناً او را که برحسب گفتهٔ خود میرزا لطف‌الله در علوم دینی متبحر است مجاب کند. </w:t>
      </w:r>
    </w:p>
  </w:footnote>
  <w:footnote w:id="31">
    <w:p>
      <w:pPr>
        <w:pStyle w:val="FootnoteText"/>
        <w:bidi/>
      </w:pPr>
      <w:r>
        <w:rPr>
          <w:rStyle w:val="FootnoteReference"/>
        </w:rPr>
        <w:footnoteRef/>
      </w:r>
      <w:r>
        <w:rPr>
          <w:rtl/>
        </w:rPr>
        <w:t xml:space="preserve"> </w:t>
      </w:r>
      <w:r>
        <w:rPr>
          <w:i/>
          <w:iCs/>
          <w:rtl/>
        </w:rPr>
        <w:t xml:space="preserve">شرح حال و آثار سید جمال‌الدین اسدآبادی</w:t>
      </w:r>
      <w:r>
        <w:rPr>
          <w:rtl/>
        </w:rPr>
        <w:t xml:space="preserve">، بقلم میرزا لطف‌الله اسدآبادی، ملحقات، مرقومهٔ عدالت، صفحات ۱۰۷ و ۱۰۸. </w:t>
      </w:r>
    </w:p>
  </w:footnote>
  <w:footnote w:id="33">
    <w:p>
      <w:pPr>
        <w:pStyle w:val="FootnoteText"/>
        <w:bidi/>
      </w:pPr>
      <w:r>
        <w:rPr>
          <w:rStyle w:val="FootnoteReference"/>
        </w:rPr>
        <w:footnoteRef/>
      </w:r>
      <w:r>
        <w:rPr>
          <w:rtl/>
        </w:rPr>
        <w:t xml:space="preserve"> </w:t>
      </w:r>
      <w:r>
        <w:rPr>
          <w:rtl/>
        </w:rPr>
        <w:t xml:space="preserve">در مورد سالهای اقامت جمال‌الدین در افغانستان نظرات مختلفی موجود است. اغلب این دوره را ده سال دانسته‌اند. ولی هرگاه به روایت میرزا لطف‌الله در این مورد اعتماد کنیم٬ جمال‌الدین در سال ۱۲۷۷ سه «شب» را در اسدآباد نزد اقوام خود گذرانده پس از آن به تهران آمده و پس از یک اقامت «پنچ شش» ماهه از طریق مشهد بسوی کابل حرکت کرده است. بنابراین مدت این اقامت که پایان آن، یعنی ۱۲۸۵، کاملا مشخص است نمی‌تواند بیش از شش یا هفت سال باشد. میرزا لطف‌الله شخصا آن را پنج سال می‌دانست لیکن، با توجه به تاریخ‌هائی که در یادداشتهای شخصی جمال‌الدین ذکر شده وی در ۱۲۸۳ ظاهراً از تهران حرکت کرده است و در ماه صفر همین سال در مشهد بوده و در اواخر جمادی‌الاول همین سال وارد هرات شده و در سال ۱۲۸۵ به هندوستان رفته است. طبق این حساب اقامت او در افغانستان دو سال طول کشیده است. مگر این که فکر کنیم که او در حین اقامت خود در افغانستان سفری هم به ایران کرده است. صدر‌واثقی با استناد به نظر غلام جیلانی اعظمی همین نظر را پذیرفته است و ضمن قبول تاریخ عزیمت جمال‌الدین به افغانستان به شرحی که میرزا لطف الله آن را بیان کرده این سفر را سفر اول جمال الدین می‌داند. (رجوع شود به</w:t>
      </w:r>
      <w:r>
        <w:rPr>
          <w:rtl/>
        </w:rPr>
        <w:t xml:space="preserve"> </w:t>
      </w:r>
      <w:r>
        <w:rPr>
          <w:i/>
          <w:iCs/>
          <w:rtl/>
        </w:rPr>
        <w:t xml:space="preserve">جمال الدین الحسینی پایه گذار نهضت‌های اسلامی</w:t>
      </w:r>
      <w:r>
        <w:rPr>
          <w:rtl/>
        </w:rPr>
        <w:t xml:space="preserve">، صفحات ۴۰ و ۴۱) </w:t>
      </w:r>
    </w:p>
  </w:footnote>
  <w:footnote w:id="34">
    <w:p>
      <w:pPr>
        <w:pStyle w:val="FootnoteText"/>
        <w:bidi/>
      </w:pPr>
      <w:r>
        <w:rPr>
          <w:rStyle w:val="FootnoteReference"/>
        </w:rPr>
        <w:footnoteRef/>
      </w:r>
      <w:r>
        <w:rPr>
          <w:rtl/>
        </w:rPr>
        <w:t xml:space="preserve"> </w:t>
      </w:r>
      <w:r>
        <w:rPr>
          <w:rtl/>
        </w:rPr>
        <w:t xml:space="preserve">نامه‌ها و اسناد خصوصی جمال‌الدین که توسط اصغر مهدوی و ایرج افشار منتشر شده و اصل آنها به کتابخانه مجلس سپرده شده حرکت جمال‌الدین را در این مسیر تأیید می‌کند. بعضی از نامه‌ها از تهران بعضی از بسطام و بعضی از مشهد نوشته شده ولی تاریخ آن بشرحی است که در بالا گفتیم و با تاریخی که میرزا لطف‌الله در نظر داشته اختلاف دارد. </w:t>
      </w:r>
    </w:p>
  </w:footnote>
  <w:footnote w:id="35">
    <w:p>
      <w:pPr>
        <w:pStyle w:val="FootnoteText"/>
        <w:bidi/>
      </w:pPr>
      <w:r>
        <w:rPr>
          <w:rStyle w:val="FootnoteReference"/>
        </w:rPr>
        <w:footnoteRef/>
      </w:r>
      <w:r>
        <w:rPr>
          <w:rtl/>
        </w:rPr>
        <w:t xml:space="preserve"> </w:t>
      </w:r>
      <w:r>
        <w:rPr>
          <w:rtl/>
        </w:rPr>
        <w:t xml:space="preserve">ادوارد براون در</w:t>
      </w:r>
      <w:r>
        <w:rPr>
          <w:rtl/>
        </w:rPr>
        <w:t xml:space="preserve"> </w:t>
      </w:r>
      <w:r>
        <w:rPr>
          <w:i/>
          <w:iCs/>
          <w:rtl/>
        </w:rPr>
        <w:t xml:space="preserve">تاریخ انقلاب ایران</w:t>
      </w:r>
      <w:r>
        <w:rPr>
          <w:rtl/>
        </w:rPr>
        <w:t xml:space="preserve">، صفحهٔ ۴، اساساً پیروزی امیر‌شیر‌علی‌خان بر محمد‌اعظم خان را نتیجه حمایت انگلیس از امیر‌شیر‌علی‌خان دانسته می‌نویسد: «از طرف انگلیسیها پول بی‌حسابی برایش (یعنی برای شیر‌علی‌خان) می‌فرستادند تقویت شده و بالنتیجه به پراکنده ساختن برادر خود محمد اعظم و برادر زاده‌اش عبدالرحمن توفیق یافته.» با توجه به این امر خصلت ضدّ انگلیسی فعالیتهای جمال‌الدین در افغانستان بیش از پیش روشن می‌شود. </w:t>
      </w:r>
    </w:p>
  </w:footnote>
  <w:footnote w:id="36">
    <w:p>
      <w:pPr>
        <w:pStyle w:val="FootnoteText"/>
        <w:bidi/>
      </w:pPr>
      <w:r>
        <w:rPr>
          <w:rStyle w:val="FootnoteReference"/>
        </w:rPr>
        <w:footnoteRef/>
      </w:r>
      <w:r>
        <w:rPr>
          <w:rtl/>
        </w:rPr>
        <w:t xml:space="preserve"> </w:t>
      </w:r>
      <w:r>
        <w:rPr>
          <w:rtl/>
        </w:rPr>
        <w:t xml:space="preserve">«اینان (منظور ایران و افغانستان است) دو طایفه هستند که دو شاخهٔ یک درختند و دو شعبه‌ای هستند که برگشت به یک اصل دارند و آن اصل فارسی قدیم است و اجتماعشان در دیانت حقه اسلامی ارتباط آنان را قوی‌تر نموده است و بین آنان فقط یک جزئی اختلاف است و آن هم موجب افتراق آنان نمی‌شود. آیا بر شما پوشیده است که هر مسلمانی در هند چشم بسوی پنجاب دوخته و اننظار قدوم شما را پس از اتحادتان با برادران افغانی میکشد.» (مستخرج از مقالهٔ «دعوت الفرس الی الاتحاد مع الافغان» ترجمه از متن عربی). مقایسهٔ این مطالب با مطالبی که از مفاد نامهٔ جمال‌الدین که ظاهراً به یکی از رجال حکومت عثمانی نوشته شده بر می‌آید بسیار جالب است. در آن نامه همین تقاضا را از حکومت عثمانی دارد که به کمک مسلمانان هند بشتابد. (رجوع شود به</w:t>
      </w:r>
      <w:r>
        <w:rPr>
          <w:rtl/>
        </w:rPr>
        <w:t xml:space="preserve"> </w:t>
      </w:r>
      <w:r>
        <w:rPr>
          <w:i/>
          <w:iCs/>
          <w:rtl/>
        </w:rPr>
        <w:t xml:space="preserve">مجموعهٔ اسناد و مدارک چاپ نشده</w:t>
      </w:r>
      <w:r>
        <w:rPr>
          <w:rtl/>
        </w:rPr>
        <w:t xml:space="preserve">، تصویرهای ۲۶ و ۲۷)، ما بعداً این موضوع را در ارتباط با نظریهٔ اتّحاد اسلامی جمال‌الدین با تفصیل توضیح خواهیم داد. </w:t>
      </w:r>
    </w:p>
  </w:footnote>
  <w:footnote w:id="37">
    <w:p>
      <w:pPr>
        <w:pStyle w:val="FootnoteText"/>
        <w:bidi/>
      </w:pPr>
      <w:r>
        <w:rPr>
          <w:rStyle w:val="FootnoteReference"/>
        </w:rPr>
        <w:footnoteRef/>
      </w:r>
      <w:r>
        <w:rPr>
          <w:rtl/>
        </w:rPr>
        <w:t xml:space="preserve"> </w:t>
      </w:r>
      <w:r>
        <w:rPr>
          <w:i/>
          <w:iCs/>
          <w:rtl/>
        </w:rPr>
        <w:t xml:space="preserve">مجموعهٔ اسناد و مدارک چاپ نشده دربارهٔ سید جمال‌الدین</w:t>
      </w:r>
      <w:r>
        <w:rPr>
          <w:rtl/>
        </w:rPr>
        <w:t xml:space="preserve">، لوحهٔ ۳ </w:t>
      </w:r>
    </w:p>
  </w:footnote>
  <w:footnote w:id="38">
    <w:p>
      <w:pPr>
        <w:pStyle w:val="FootnoteText"/>
        <w:bidi/>
      </w:pPr>
      <w:r>
        <w:rPr>
          <w:rStyle w:val="FootnoteReference"/>
        </w:rPr>
        <w:footnoteRef/>
      </w:r>
      <w:r>
        <w:rPr>
          <w:rtl/>
        </w:rPr>
        <w:t xml:space="preserve"> </w:t>
      </w:r>
      <w:r>
        <w:rPr>
          <w:rtl/>
        </w:rPr>
        <w:t xml:space="preserve">جمال‌الدین در آغاز فعالیتهای خود ظاهراً در ابراز عقاید اسلامی خویش در مورد مذهب دلیر و بی‌پروا بوده است و همین امر ابتدا در افغانستان و بعداً در اولین سفر وی به استانبول روحانیت رسمی را بر علیه وی بر‌انگیخته است. ولی بعدها عقاید خود را در این مورد با جرح و تعدیل و احتیاط و استتار لازم عنوان می‌کرده است و بسیار کوشا بوده است که مبادا مورد تکفیر روحانیت رسمی قرار گیرد. من این مطالب را بعداً بیشتر توضیح خواهم داد. </w:t>
      </w:r>
    </w:p>
  </w:footnote>
  <w:footnote w:id="40">
    <w:p>
      <w:pPr>
        <w:pStyle w:val="FootnoteText"/>
        <w:bidi/>
      </w:pPr>
      <w:r>
        <w:rPr>
          <w:rStyle w:val="FootnoteReference"/>
        </w:rPr>
        <w:footnoteRef/>
      </w:r>
      <w:r>
        <w:rPr>
          <w:rtl/>
        </w:rPr>
        <w:t xml:space="preserve"> </w:t>
      </w:r>
      <w:r>
        <w:rPr>
          <w:rtl/>
        </w:rPr>
        <w:t xml:space="preserve">خوشبختانه یا، بعبارت دقیق‌تر، متأسفانه بیشتر آثاری که در ایران به بررسی زندگی جمال‌الدین پرداخته‌اند قسمت عمده کار خود را مصروف تعیین و تشخیص و احیاناً خیال‌پردازی پیرامون همین امور جزئی کرده‌اند. </w:t>
      </w:r>
    </w:p>
  </w:footnote>
  <w:footnote w:id="41">
    <w:p>
      <w:pPr>
        <w:pStyle w:val="FootnoteText"/>
        <w:bidi/>
      </w:pPr>
      <w:r>
        <w:rPr>
          <w:rStyle w:val="FootnoteReference"/>
        </w:rPr>
        <w:footnoteRef/>
      </w:r>
      <w:r>
        <w:rPr>
          <w:rtl/>
        </w:rPr>
        <w:t xml:space="preserve"> </w:t>
      </w:r>
      <w:r>
        <w:rPr>
          <w:rtl/>
        </w:rPr>
        <w:t xml:space="preserve">مفصلترین مدارکی که در این مورد در اختیار داریم، یکی نوشته‌های محمد پاشا مخزومی است که خود هیچ مأخذی ندارد و همانطور که کسروی و محیط طباطبائی بحق تذکر داده‌اند شایسته اعتماد نیست بخصوص که در بعضی جاها با واقعیت مغایرت کامل دارد، و دیگر گفته‌های میرزا لطف‌الله است که آن هم از یک سو مستندِ به سندی نیست و از سوی دیگر بطور کلی میتوان گفت که میرزا لطف‌الله با آنکه کوشیده است در جزئیات زندگی جمال‌الدین وارد شود، ظاهرا خود جز اطلاعات کلی و اجمالی در مورد وی در دست نداشته و سپس این مطالب کلی را با نظر ارادتی که به جمال‌الدین داشته بسط و تفصیل داده است. یکی از بارزترین دلائل این امر آن است که میرزا لطف‌الله هیچگونه اشاره‌ای به مسافرت جمال‌الدین در سال ۱۲۸۲ از طریق تهران و مشهد به کابل نمی‌کند حال آنکه این امر با وضوح در یادداشتهای شخصی جمال‌الدین منعکس است.</w:t>
      </w:r>
    </w:p>
    <w:p>
      <w:pPr>
        <w:pStyle w:val="FootnoteText"/>
        <w:bidi/>
      </w:pPr>
      <w:r>
        <w:rPr>
          <w:rtl/>
        </w:rPr>
        <w:t xml:space="preserve">نظر صدر‌واثقی که این سفر را ظاهراً مخفیانه دانسته نمی‌تواند زیاد قابل اعتماد باشد. نوشتن «ط ه ر» یا «ط و س» بجای طهران و طوس را نمی‌توان علامت رمز دانست. ما دیگر از منابع بسیاری که حرفهای همه را پشت هم می‌کنند بدون آنکه به نقادی آنها بپردازند سخنی نمی‌گوئیم. </w:t>
      </w:r>
    </w:p>
  </w:footnote>
  <w:footnote w:id="42">
    <w:p>
      <w:pPr>
        <w:pStyle w:val="FootnoteText"/>
        <w:bidi/>
      </w:pPr>
      <w:r>
        <w:rPr>
          <w:rStyle w:val="FootnoteReference"/>
        </w:rPr>
        <w:footnoteRef/>
      </w:r>
      <w:r>
        <w:rPr>
          <w:rtl/>
        </w:rPr>
        <w:t xml:space="preserve"> </w:t>
      </w:r>
      <w:r>
        <w:rPr>
          <w:rtl/>
        </w:rPr>
        <w:t xml:space="preserve">سید جمال‌الدین حسینی پایه‌گذار نهضتهای اسلامی، صفحهٔ ۵۵.</w:t>
      </w:r>
    </w:p>
    <w:p>
      <w:pPr>
        <w:pStyle w:val="FootnoteText"/>
        <w:bidi/>
      </w:pPr>
      <w:r>
        <w:rPr>
          <w:rtl/>
        </w:rPr>
        <w:t xml:space="preserve">صدر واثقی نه اول کسی است و نه تنها کسی که از اینگونه دلائل در این مورد آورده است. برعکس وی با روش التقاطی خاصّ خویش حرفهای دیگران را پشت سر هم ردیف کرده است. </w:t>
      </w:r>
    </w:p>
  </w:footnote>
  <w:footnote w:id="43">
    <w:p>
      <w:pPr>
        <w:pStyle w:val="FootnoteText"/>
        <w:bidi/>
      </w:pPr>
      <w:r>
        <w:rPr>
          <w:rStyle w:val="FootnoteReference"/>
        </w:rPr>
        <w:footnoteRef/>
      </w:r>
      <w:r>
        <w:rPr>
          <w:rtl/>
        </w:rPr>
        <w:t xml:space="preserve"> </w:t>
      </w:r>
      <w:r>
        <w:rPr>
          <w:i/>
          <w:iCs/>
          <w:rtl/>
        </w:rPr>
        <w:t xml:space="preserve">سید جمال‌الدین حسینی پایه‌گذار نهضتهای اسلامی</w:t>
      </w:r>
      <w:r>
        <w:rPr>
          <w:rtl/>
        </w:rPr>
        <w:t xml:space="preserve">، صفحهٔ ۵۵. </w:t>
      </w:r>
    </w:p>
  </w:footnote>
  <w:footnote w:id="44">
    <w:p>
      <w:pPr>
        <w:pStyle w:val="FootnoteText"/>
        <w:bidi/>
      </w:pPr>
      <w:r>
        <w:rPr>
          <w:rStyle w:val="FootnoteReference"/>
        </w:rPr>
        <w:footnoteRef/>
      </w:r>
      <w:r>
        <w:rPr>
          <w:rtl/>
        </w:rPr>
        <w:t xml:space="preserve"> </w:t>
      </w:r>
      <w:r>
        <w:rPr>
          <w:rtl/>
        </w:rPr>
        <w:t xml:space="preserve">می‌گویند جمال‌الدین برای اثبات آنکه حیات وابسته به تنفس هوای آزاد است آزمایش قرار دادن پرنده در زیر سرپوش را در مجالس درس خود انجام می‌داده. </w:t>
      </w:r>
    </w:p>
  </w:footnote>
  <w:footnote w:id="46">
    <w:p>
      <w:pPr>
        <w:pStyle w:val="FootnoteText"/>
        <w:bidi/>
      </w:pPr>
      <w:r>
        <w:rPr>
          <w:rStyle w:val="FootnoteReference"/>
        </w:rPr>
        <w:footnoteRef/>
      </w:r>
      <w:r>
        <w:rPr>
          <w:rtl/>
        </w:rPr>
        <w:t xml:space="preserve"> </w:t>
      </w:r>
      <w:r>
        <w:rPr>
          <w:rtl/>
        </w:rPr>
        <w:t xml:space="preserve">ریاض پاشا، نخست وزیر مصر، شخصا با جمال‌الدین تماس گرفته و از طرف دولت مصر بقول جرجی زیدان «ماهانه هزار قوروش مصری (معادل پنجاه تومان ایرانی)» (</w:t>
      </w:r>
      <w:r>
        <w:rPr>
          <w:i/>
          <w:iCs/>
          <w:rtl/>
        </w:rPr>
        <w:t xml:space="preserve">تاریخ بیداری ایرانیان</w:t>
      </w:r>
      <w:r>
        <w:rPr>
          <w:rtl/>
        </w:rPr>
        <w:t xml:space="preserve">، صفحهٔ ۵۸) برای او تعیین شد، بدون آنکه از او در عوض خدمتی انتظار داشته باشد. </w:t>
      </w:r>
    </w:p>
  </w:footnote>
  <w:footnote w:id="47">
    <w:p>
      <w:pPr>
        <w:pStyle w:val="FootnoteText"/>
        <w:bidi/>
      </w:pPr>
      <w:r>
        <w:rPr>
          <w:rStyle w:val="FootnoteReference"/>
        </w:rPr>
        <w:footnoteRef/>
      </w:r>
      <w:r>
        <w:rPr>
          <w:rtl/>
        </w:rPr>
        <w:t xml:space="preserve"> </w:t>
      </w:r>
      <w:r>
        <w:rPr>
          <w:i/>
          <w:iCs/>
          <w:rtl/>
        </w:rPr>
        <w:t xml:space="preserve">تاریخ بیداری ایرانیان</w:t>
      </w:r>
      <w:r>
        <w:rPr>
          <w:rtl/>
        </w:rPr>
        <w:t xml:space="preserve">، جلد اول، صفحهٔ ۵۶ </w:t>
      </w:r>
    </w:p>
  </w:footnote>
  <w:footnote w:id="48">
    <w:p>
      <w:pPr>
        <w:pStyle w:val="FootnoteText"/>
        <w:bidi/>
      </w:pPr>
      <w:r>
        <w:rPr>
          <w:rStyle w:val="FootnoteReference"/>
        </w:rPr>
        <w:footnoteRef/>
      </w:r>
      <w:r>
        <w:rPr>
          <w:rtl/>
        </w:rPr>
        <w:t xml:space="preserve"> </w:t>
      </w:r>
      <w:r>
        <w:rPr>
          <w:rtl/>
        </w:rPr>
        <w:t xml:space="preserve">من بعداً با تفصیل بیشتری نشان خواهم داد که اساساً جمال‌الدین در تمام عمر خود این خصلت را حفظ کرده و آنچه او می‌خواسته است آشتی دادن منافع بورژوازی بزرگ و فئودالها در داخل کشورهای اسلامی و احیاناً اتّحاد آنها در سراسر قلمرو سرزمینهای اسلامی بوده است. جمال‌الدین هرگز به جنبش طبقات زحمتکش جامعه تعلق نداشته است. </w:t>
      </w:r>
    </w:p>
  </w:footnote>
  <w:footnote w:id="49">
    <w:p>
      <w:pPr>
        <w:pStyle w:val="FootnoteText"/>
        <w:bidi/>
      </w:pPr>
      <w:r>
        <w:rPr>
          <w:rStyle w:val="FootnoteReference"/>
        </w:rPr>
        <w:footnoteRef/>
      </w:r>
      <w:r>
        <w:rPr>
          <w:rtl/>
        </w:rPr>
        <w:t xml:space="preserve"> </w:t>
      </w:r>
      <w:r>
        <w:rPr>
          <w:rtl/>
        </w:rPr>
        <w:t xml:space="preserve">در اقامت پنج سالهٔ آخر عمر جمال‌الدین در استانبول، باب عالی همواره نگران روابط جمال‌الدین با خدیو مصر بود. </w:t>
      </w:r>
    </w:p>
  </w:footnote>
  <w:footnote w:id="51">
    <w:p>
      <w:pPr>
        <w:pStyle w:val="FootnoteText"/>
        <w:bidi/>
      </w:pPr>
      <w:r>
        <w:rPr>
          <w:rStyle w:val="FootnoteReference"/>
        </w:rPr>
        <w:footnoteRef/>
      </w:r>
      <w:r>
        <w:rPr>
          <w:rtl/>
        </w:rPr>
        <w:t xml:space="preserve"> </w:t>
      </w:r>
      <w:r>
        <w:rPr>
          <w:rtl/>
        </w:rPr>
        <w:t xml:space="preserve">مصطفی عبدالرزاق ضمن بیان تدریس جمال‌الدین در مصر از دروس زیر یاد می‌کند: «ادبیات، منطق، الهیات، فلسفهٔ، عرفان، اصول فقه و نجوم». (عروة الوثقی، صفحهٔ ۲۱) </w:t>
      </w:r>
    </w:p>
  </w:footnote>
  <w:footnote w:id="52">
    <w:p>
      <w:pPr>
        <w:pStyle w:val="FootnoteText"/>
        <w:bidi/>
      </w:pPr>
      <w:r>
        <w:rPr>
          <w:rStyle w:val="FootnoteReference"/>
        </w:rPr>
        <w:footnoteRef/>
      </w:r>
      <w:r>
        <w:rPr>
          <w:rtl/>
        </w:rPr>
        <w:t xml:space="preserve"> </w:t>
      </w:r>
      <w:r>
        <w:rPr>
          <w:i/>
          <w:iCs/>
          <w:rtl/>
        </w:rPr>
        <w:t xml:space="preserve">تاریخ عرب در قرون جدید</w:t>
      </w:r>
      <w:r>
        <w:rPr>
          <w:rtl/>
        </w:rPr>
        <w:t xml:space="preserve">، نوشته لوتسکی، ترجمه بابائی، صفحات ۵۸ و ۵۹ </w:t>
      </w:r>
    </w:p>
  </w:footnote>
  <w:footnote w:id="54">
    <w:p>
      <w:pPr>
        <w:pStyle w:val="FootnoteText"/>
        <w:bidi/>
      </w:pPr>
      <w:r>
        <w:rPr>
          <w:rStyle w:val="FootnoteReference"/>
        </w:rPr>
        <w:footnoteRef/>
      </w:r>
      <w:r>
        <w:rPr>
          <w:rtl/>
        </w:rPr>
        <w:t xml:space="preserve"> </w:t>
      </w:r>
      <w:r>
        <w:rPr>
          <w:i/>
          <w:iCs/>
          <w:rtl/>
        </w:rPr>
        <w:t xml:space="preserve">اسناد و مدارک چاپ نشده دربارهٔ سید جمال‌الدین</w:t>
      </w:r>
      <w:r>
        <w:rPr>
          <w:rtl/>
        </w:rPr>
        <w:t xml:space="preserve">، تصویر ۴۰ </w:t>
      </w:r>
    </w:p>
  </w:footnote>
  <w:footnote w:id="55">
    <w:p>
      <w:pPr>
        <w:pStyle w:val="FootnoteText"/>
        <w:bidi/>
      </w:pPr>
      <w:r>
        <w:rPr>
          <w:rStyle w:val="FootnoteReference"/>
        </w:rPr>
        <w:footnoteRef/>
      </w:r>
      <w:r>
        <w:rPr>
          <w:rtl/>
        </w:rPr>
        <w:t xml:space="preserve"> </w:t>
      </w:r>
      <w:r>
        <w:rPr>
          <w:rtl/>
        </w:rPr>
        <w:t xml:space="preserve">همانجا، صفحهٔ ۲۴. هیچیک از این مدارک از امور شکلی و تشکیلاتی از قبیل تعیین رئیس یا دعوت به شرکت در مجلس تذکر و اموری از این قبیل فراتر نمی‌رود و به محتوای جریانات واقع در انجمن اشاره‌ای ندارد. </w:t>
      </w:r>
    </w:p>
  </w:footnote>
  <w:footnote w:id="56">
    <w:p>
      <w:pPr>
        <w:pStyle w:val="FootnoteText"/>
        <w:bidi/>
      </w:pPr>
      <w:r>
        <w:rPr>
          <w:rStyle w:val="FootnoteReference"/>
        </w:rPr>
        <w:footnoteRef/>
      </w:r>
      <w:r>
        <w:rPr>
          <w:rtl/>
        </w:rPr>
        <w:t xml:space="preserve"> </w:t>
      </w:r>
      <w:r>
        <w:rPr>
          <w:rtl/>
        </w:rPr>
        <w:t xml:space="preserve">مقالهٔ علی مشیری، مجلهٔ خواندنیها، سه شنبه ۱۶ تیر ۱۳۴۳ </w:t>
      </w:r>
    </w:p>
  </w:footnote>
  <w:footnote w:id="57">
    <w:p>
      <w:pPr>
        <w:pStyle w:val="FootnoteText"/>
        <w:bidi/>
      </w:pPr>
      <w:r>
        <w:rPr>
          <w:rStyle w:val="FootnoteReference"/>
        </w:rPr>
        <w:footnoteRef/>
      </w:r>
      <w:r>
        <w:rPr>
          <w:rtl/>
        </w:rPr>
        <w:t xml:space="preserve"> </w:t>
      </w:r>
      <w:r>
        <w:rPr>
          <w:rtl/>
        </w:rPr>
        <w:t xml:space="preserve">به احتمال قوی تقاضای جمال‌الدین در همان سال ۱۷۸۵ پذیرفته شده است. چون تاریخ اولین سندی که پس از تقاضا در یادداشتهای شخصی جمال‌الدین بدست آمده سال ۱۸۷۶ می‌باشد — در دایرة‌المعارف اسلامی ورود به انجمن سال ۱۸۷۸ ذکر شده. </w:t>
      </w:r>
    </w:p>
  </w:footnote>
  <w:footnote w:id="58">
    <w:p>
      <w:pPr>
        <w:pStyle w:val="FootnoteText"/>
        <w:bidi/>
      </w:pPr>
      <w:r>
        <w:rPr>
          <w:rStyle w:val="FootnoteReference"/>
        </w:rPr>
        <w:footnoteRef/>
      </w:r>
      <w:r>
        <w:rPr>
          <w:rtl/>
        </w:rPr>
        <w:t xml:space="preserve"> </w:t>
      </w:r>
      <w:r>
        <w:rPr>
          <w:rtl/>
        </w:rPr>
        <w:t xml:space="preserve">اسماعیل رائین در کتاب فراماسونری، جلد اول، ژان ژاک روسو را عضو انجمن فراماسونری می‌داند. </w:t>
      </w:r>
    </w:p>
  </w:footnote>
  <w:footnote w:id="59">
    <w:p>
      <w:pPr>
        <w:pStyle w:val="FootnoteText"/>
        <w:bidi/>
      </w:pPr>
      <w:r>
        <w:rPr>
          <w:rStyle w:val="FootnoteReference"/>
        </w:rPr>
        <w:footnoteRef/>
      </w:r>
      <w:r>
        <w:rPr>
          <w:rtl/>
        </w:rPr>
        <w:t xml:space="preserve"> </w:t>
      </w:r>
      <w:r>
        <w:rPr>
          <w:rtl/>
        </w:rPr>
        <w:t xml:space="preserve">باید دانست که فراماسونری یک انجمن جهانی و یکپارچه نیست بلکه هر انجمن با توجه به وابستگی به لُژ مادر از طریق یک سلسله مراتب به شاخه‌ای تعلق دارد. لذا ممکن است دو انجمن فراماسونری که یکی متعلق به لژ اسکاتلند و دیگری به لژ فرانسه است در یک جریان واحد دو جهت‌گیری کاملاً مخالف یکدیگر داشته باشند — نمونه، همین جنگهای استقلال آمریکا. </w:t>
      </w:r>
    </w:p>
  </w:footnote>
  <w:footnote w:id="60">
    <w:p>
      <w:pPr>
        <w:pStyle w:val="FootnoteText"/>
        <w:bidi/>
      </w:pPr>
      <w:r>
        <w:rPr>
          <w:rStyle w:val="FootnoteReference"/>
        </w:rPr>
        <w:footnoteRef/>
      </w:r>
      <w:r>
        <w:rPr>
          <w:rtl/>
        </w:rPr>
        <w:t xml:space="preserve"> </w:t>
      </w:r>
      <w:r>
        <w:rPr>
          <w:rtl/>
        </w:rPr>
        <w:t xml:space="preserve">ممکن است امروز که نقش استعماری این انجمنها تا حدود زیادی برملا شده قبول کنیم که اکثریت قریب به اتفاق کسانی که به این انجمنها وارد می‌شوند به امید تقرّب به سیاست استعماری و برخورداری از مواهب آن به این کار دست می‌زنند — ولی تعمیم همین حکم در مورد قرون هیجده و نوزده و برای مثلا نماینده سیاسی‌ای که نمی‌داند لندن آیا پایتخت انگلیس است یا کشور مستقلی است کاری علمی نیست. </w:t>
      </w:r>
    </w:p>
  </w:footnote>
  <w:footnote w:id="61">
    <w:p>
      <w:pPr>
        <w:pStyle w:val="FootnoteText"/>
        <w:bidi/>
      </w:pPr>
      <w:r>
        <w:rPr>
          <w:rStyle w:val="FootnoteReference"/>
        </w:rPr>
        <w:footnoteRef/>
      </w:r>
      <w:r>
        <w:rPr>
          <w:rtl/>
        </w:rPr>
        <w:t xml:space="preserve"> </w:t>
      </w:r>
      <w:r>
        <w:rPr>
          <w:rtl/>
        </w:rPr>
        <w:t xml:space="preserve">این افراد معمولا دست به تحریف حقایق زندگی جمال‌الدین زده آثاری گمراه‌کننده بوجود می‌آورند. البته آثار آن دسته از هواداران بی‌چون‌و‌چرای جمال‌الدین که سر‌تا‌پای نوشتۀ خود را از تمجید و تحسین با دلیل و بی‌دلیل پر می‌کنند نیز می‌تواند در درک حقیقت فعالیتهای جمال‌الدین بسیار گمراه‌کننده باشد. لیکن، بنظر من، خطر دسته اول بیشتر است زیرا می‌کوشند خواننده را از مطالعه فعالیتهای جمال‌الدین بعنوان مرحله‌ای از رشد مبارزات ضدّ‌‌استعماری ملل مستعمره و نیمه مستعمره باز دارند در حالیکه دسته دوم در نقش جمال‌الدین در این مبارزه مبالغه نموده‌اند. </w:t>
      </w:r>
    </w:p>
  </w:footnote>
  <w:footnote w:id="62">
    <w:p>
      <w:pPr>
        <w:pStyle w:val="FootnoteText"/>
        <w:bidi/>
      </w:pPr>
      <w:r>
        <w:rPr>
          <w:rStyle w:val="FootnoteReference"/>
        </w:rPr>
        <w:footnoteRef/>
      </w:r>
      <w:r>
        <w:rPr>
          <w:rtl/>
        </w:rPr>
        <w:t xml:space="preserve"> </w:t>
      </w:r>
      <w:r>
        <w:rPr>
          <w:rtl/>
        </w:rPr>
        <w:t xml:space="preserve">مخزومی دربارهٔ ماهیت فعالیتهای جمال‌الدین در انجمن و انتقادات او بر انجمن و نظر جمال‌الدین دربارهٔ انجمن فراماسونری نسبتاً به تفصیل صحبت می‌کند و از آن جمله می‌گوید که جمال‌الدین به نظر انجمن دایر بر عدم مداخله در امور سیاسی انتقاد کرده است. لیکن، مطالب کتاب مخزومی را بهیچوجه نمی‌توان مورد اعتماد قرار داد و بیشتر بنظر می‌رسد که وی عقاید شخصی خود را از قول جمال‌الدین بیان کرده است. لذا، من از منعکس ساختن آنها در متن این پایان نامه خودداری می‌کنم. </w:t>
      </w:r>
    </w:p>
  </w:footnote>
  <w:footnote w:id="64">
    <w:p>
      <w:pPr>
        <w:pStyle w:val="FootnoteText"/>
        <w:bidi/>
      </w:pPr>
      <w:r>
        <w:rPr>
          <w:rStyle w:val="FootnoteReference"/>
        </w:rPr>
        <w:footnoteRef/>
      </w:r>
      <w:r>
        <w:rPr>
          <w:rtl/>
        </w:rPr>
        <w:t xml:space="preserve"> </w:t>
      </w:r>
      <w:r>
        <w:rPr>
          <w:rtl/>
        </w:rPr>
        <w:t xml:space="preserve">عقیده یکی از دعاة نصارای قاهره، کتاب</w:t>
      </w:r>
      <w:r>
        <w:rPr>
          <w:rtl/>
        </w:rPr>
        <w:t xml:space="preserve"> </w:t>
      </w:r>
      <w:r>
        <w:rPr>
          <w:i/>
          <w:iCs/>
          <w:rtl/>
        </w:rPr>
        <w:t xml:space="preserve">نامه‌های سید جمال‌الدین اسدآبادی</w:t>
      </w:r>
      <w:r>
        <w:rPr>
          <w:rtl/>
        </w:rPr>
        <w:t xml:space="preserve">، صفحهٔ ۹۹ </w:t>
      </w:r>
    </w:p>
  </w:footnote>
  <w:footnote w:id="65">
    <w:p>
      <w:pPr>
        <w:pStyle w:val="FootnoteText"/>
        <w:bidi/>
      </w:pPr>
      <w:r>
        <w:rPr>
          <w:rStyle w:val="FootnoteReference"/>
        </w:rPr>
        <w:footnoteRef/>
      </w:r>
      <w:r>
        <w:rPr>
          <w:rtl/>
        </w:rPr>
        <w:t xml:space="preserve"> </w:t>
      </w:r>
      <w:r>
        <w:rPr>
          <w:i/>
          <w:iCs/>
          <w:rtl/>
        </w:rPr>
        <w:t xml:space="preserve">گفتار خوش یار‌قلی</w:t>
      </w:r>
      <w:r>
        <w:rPr>
          <w:rtl/>
        </w:rPr>
        <w:t xml:space="preserve"> </w:t>
      </w:r>
    </w:p>
  </w:footnote>
  <w:footnote w:id="66">
    <w:p>
      <w:pPr>
        <w:pStyle w:val="FootnoteText"/>
        <w:bidi/>
      </w:pPr>
      <w:r>
        <w:rPr>
          <w:rStyle w:val="FootnoteReference"/>
        </w:rPr>
        <w:footnoteRef/>
      </w:r>
      <w:r>
        <w:rPr>
          <w:rtl/>
        </w:rPr>
        <w:t xml:space="preserve"> </w:t>
      </w:r>
      <w:r>
        <w:rPr>
          <w:rtl/>
        </w:rPr>
        <w:t xml:space="preserve">نویسندهٔ</w:t>
      </w:r>
      <w:r>
        <w:rPr>
          <w:rtl/>
        </w:rPr>
        <w:t xml:space="preserve"> </w:t>
      </w:r>
      <w:r>
        <w:rPr>
          <w:i/>
          <w:iCs/>
          <w:rtl/>
        </w:rPr>
        <w:t xml:space="preserve">فلسفهٔ جامع</w:t>
      </w:r>
      <w:r>
        <w:rPr>
          <w:rtl/>
        </w:rPr>
        <w:t xml:space="preserve">،</w:t>
      </w:r>
      <w:r>
        <w:rPr>
          <w:rtl/>
        </w:rPr>
        <w:t xml:space="preserve"> </w:t>
      </w:r>
      <w:r>
        <w:rPr>
          <w:i/>
          <w:iCs/>
          <w:rtl/>
        </w:rPr>
        <w:t xml:space="preserve">نامه‌های سید جمال‌الدین اسدآبادی</w:t>
      </w:r>
      <w:r>
        <w:rPr>
          <w:rtl/>
        </w:rPr>
        <w:t xml:space="preserve">٬ صفحهٔ ۱۰۰ </w:t>
      </w:r>
    </w:p>
  </w:footnote>
  <w:footnote w:id="67">
    <w:p>
      <w:pPr>
        <w:pStyle w:val="FootnoteText"/>
        <w:bidi/>
      </w:pPr>
      <w:r>
        <w:rPr>
          <w:rStyle w:val="FootnoteReference"/>
        </w:rPr>
        <w:footnoteRef/>
      </w:r>
      <w:r>
        <w:rPr>
          <w:rtl/>
        </w:rPr>
        <w:t xml:space="preserve"> </w:t>
      </w:r>
      <w:r>
        <w:rPr>
          <w:rtl/>
        </w:rPr>
        <w:t xml:space="preserve">گفتار خوش یار‌قلی، صفحهٔ ۶۳ </w:t>
      </w:r>
    </w:p>
  </w:footnote>
  <w:footnote w:id="68">
    <w:p>
      <w:pPr>
        <w:pStyle w:val="FootnoteText"/>
        <w:bidi/>
      </w:pPr>
      <w:r>
        <w:rPr>
          <w:rStyle w:val="FootnoteReference"/>
        </w:rPr>
        <w:footnoteRef/>
      </w:r>
      <w:r>
        <w:rPr>
          <w:rtl/>
        </w:rPr>
        <w:t xml:space="preserve"> </w:t>
      </w:r>
      <w:r>
        <w:rPr>
          <w:rtl/>
        </w:rPr>
        <w:t xml:space="preserve">بعید است کرومر نام جمال‌الدین را به این صورت یعنی «سید جمال‌الدین اسدآبادی» در گزارش خود ذکر کرده باشد. احتمالاً مترجم فارسی نامی را که با سلیقه‌اش جور بوده در ترجمه آورده است. بطور کلی امکان دارد مترجم در جاهای دیگر نیز اضافاتی از این دست بعمل آورده باشد. بهر‌حال این ترجمه چندان قابل اعتماد نیست. </w:t>
      </w:r>
    </w:p>
  </w:footnote>
  <w:footnote w:id="69">
    <w:p>
      <w:pPr>
        <w:pStyle w:val="FootnoteText"/>
        <w:bidi/>
      </w:pPr>
      <w:r>
        <w:rPr>
          <w:rStyle w:val="FootnoteReference"/>
        </w:rPr>
        <w:footnoteRef/>
      </w:r>
      <w:r>
        <w:rPr>
          <w:rtl/>
        </w:rPr>
        <w:t xml:space="preserve"> </w:t>
      </w:r>
      <w:r>
        <w:rPr>
          <w:rtl/>
        </w:rPr>
        <w:t xml:space="preserve">کتاب</w:t>
      </w:r>
      <w:r>
        <w:rPr>
          <w:rtl/>
        </w:rPr>
        <w:t xml:space="preserve"> </w:t>
      </w:r>
      <w:r>
        <w:rPr>
          <w:i/>
          <w:iCs/>
          <w:rtl/>
        </w:rPr>
        <w:t xml:space="preserve">نامه‌های سید جمال‌الدین اسدآبادی</w:t>
      </w:r>
      <w:r>
        <w:rPr>
          <w:rtl/>
        </w:rPr>
        <w:t xml:space="preserve">، صفحهٔ ۹۸ و ۹۹ </w:t>
      </w:r>
    </w:p>
  </w:footnote>
  <w:footnote w:id="70">
    <w:p>
      <w:pPr>
        <w:pStyle w:val="FootnoteText"/>
        <w:bidi/>
      </w:pPr>
      <w:r>
        <w:rPr>
          <w:rStyle w:val="FootnoteReference"/>
        </w:rPr>
        <w:footnoteRef/>
      </w:r>
      <w:r>
        <w:rPr>
          <w:rtl/>
        </w:rPr>
        <w:t xml:space="preserve"> </w:t>
      </w:r>
      <w:r>
        <w:rPr>
          <w:i/>
          <w:iCs/>
          <w:rtl/>
        </w:rPr>
        <w:t xml:space="preserve">تاریخ بیداری ایرانیان</w:t>
      </w:r>
      <w:r>
        <w:rPr>
          <w:rtl/>
        </w:rPr>
        <w:t xml:space="preserve">، جلد اول، صفحهٔ ۸۵ </w:t>
      </w:r>
    </w:p>
  </w:footnote>
  <w:footnote w:id="72">
    <w:p>
      <w:pPr>
        <w:pStyle w:val="FootnoteText"/>
        <w:bidi/>
      </w:pPr>
      <w:r>
        <w:rPr>
          <w:rStyle w:val="FootnoteReference"/>
        </w:rPr>
        <w:footnoteRef/>
      </w:r>
      <w:r>
        <w:rPr>
          <w:rtl/>
        </w:rPr>
        <w:t xml:space="preserve"> </w:t>
      </w:r>
      <w:r>
        <w:rPr>
          <w:rtl/>
        </w:rPr>
        <w:t xml:space="preserve">نراقی فرخزاد، در</w:t>
      </w:r>
      <w:r>
        <w:rPr>
          <w:rtl/>
        </w:rPr>
        <w:t xml:space="preserve"> </w:t>
      </w:r>
      <w:r>
        <w:rPr>
          <w:i/>
          <w:iCs/>
          <w:rtl/>
        </w:rPr>
        <w:t xml:space="preserve">مردان نامی شرق</w:t>
      </w:r>
      <w:r>
        <w:rPr>
          <w:rtl/>
        </w:rPr>
        <w:t xml:space="preserve">، صفحهٔ ۳۴۱ خطابه‌ای از سید را نقل می‌کند که در آن خطاب به دهقانان گفته است: «تو‌ای زارع مصری بدبخت دل زمین را می‌شکافی تا بهره‌ای از آن ببری که زندگی خود و عائله را تأمین بنمائی. پس چرا قلب ستمگر نسبت بخودت را نمی‌شکافی و چرا دلهای آن کسانی را که حاصل دست‌رنج تو را می‌خورند نمی‌دری.» اگر بخواهیم به این روایت اعتماد کنیم و بیان چنین مطلبی را از طرف جمال‌الدین خطاب به دهقانان مصر بپذیریم بلافاصله باید تذکر دهیم که احتمالاً مورد خطاب جمال‌الدین همین دهقانانی بوده‌اند که بدادخواهی نزد خدیو به قاهره آمده‌اند و منظور جمال‌الدین از «آن کسانی که حاصل دست‌رنج ترا می‌خورند» سرمایه‌داران اروپائی بوده‌اند که در آن زمان بر مالیه مصر مسلط بودند و بهیچوجه نباید تصور کرد که جمال‌الدین قصد شوراندن دهقانان علیه فئودالهای محلی را داشته است. جمال‌الدین هرگز خواستار انهدام فئودالیسم بوسیلهٔ یک قیام توده‌ای نبود. جمله‌ای که نراقی فرخزاد در مورد تأثیر این سخن در دهقانان بیان می‌کند از لحاظ شکلی خالی از تفریح نیست: «بقسمی کلماتش در دهقانان مؤثر واقع شد که بنای هایهوی را گذارده و انقلابی عظیم برپا کردند و در نتیجه آن سید بیچاره در زحمت افتاد.» دلسوزی آقای نراقی برای «سید بیچاره» و تبیین علت «هایهوی و انقلاب» دهقانان بخوبی میتواند روشن کند که بیوگرافی‌ای که از زیر دست نویسنده‌ای با این طرز فکر دربارهٔ جمال‌الدین بیرون می‌آید تا چه حدّ می‌تواند با اصول علمی و بینش اجتماعی‌– سیاسی تطبیق داشته باشد. </w:t>
      </w:r>
    </w:p>
  </w:footnote>
  <w:footnote w:id="74">
    <w:p>
      <w:pPr>
        <w:pStyle w:val="FootnoteText"/>
        <w:bidi/>
      </w:pPr>
      <w:r>
        <w:rPr>
          <w:rStyle w:val="FootnoteReference"/>
        </w:rPr>
        <w:footnoteRef/>
      </w:r>
      <w:r>
        <w:rPr>
          <w:rtl/>
        </w:rPr>
        <w:t xml:space="preserve"> </w:t>
      </w:r>
      <w:r>
        <w:rPr>
          <w:rtl/>
        </w:rPr>
        <w:t xml:space="preserve">سوسیالیسم علمی، از همان آغاز پیدایش، با سیاست استعماری در خود کشورهای استعمارگر به مبارزه برخاست و علاقه مردم کشورهای مستعمره و نیمه‌مستعمره را نسبت بخود بر‌انگیخت. نخستین نمونه‌ای که از سیاست استعماری مورد تحلیل سوسیالیسم علمی قرار گرفت اوضاع هند بود. مارکس و انگلس، از همان سال ۱۸۵۰، مرتب در جریان کارهای خود در مطبوعات به تحلیل ماتریالیستی سیاست انگلیس در هند می‌پرداختند. و غنی‌ترین آثار سوسیالیسم علمی در قرن نوزدهم دربارهٔ استعمار با اوضاع هند پدید آمد. </w:t>
      </w:r>
    </w:p>
  </w:footnote>
  <w:footnote w:id="75">
    <w:p>
      <w:pPr>
        <w:pStyle w:val="FootnoteText"/>
        <w:bidi/>
      </w:pPr>
      <w:r>
        <w:rPr>
          <w:rStyle w:val="FootnoteReference"/>
        </w:rPr>
        <w:footnoteRef/>
      </w:r>
      <w:r>
        <w:rPr>
          <w:rtl/>
        </w:rPr>
        <w:t xml:space="preserve"> </w:t>
      </w:r>
      <w:r>
        <w:rPr>
          <w:rtl/>
        </w:rPr>
        <w:t xml:space="preserve">بظاهر، هم جمال‌الدین و هم سوسیالیسم علمی، هر‌دو در مبارزه ضدّ‌استعماری خواستار وحدت بودند. ولی این دو نوع وحدت با یکدیگر تفاوت اساسی داشت: وحدتی که جمال‌الدین می‌خواست، در درجه اول، حاصل هم پیمانی علمای دین و شاهان و سلاطین خیر‌اندیش بود، بدون آنکه دست به ترکیب نظام اجتماعی‌‌– اقتصادیِ جامعه زده شود و بدون آنکه حدود مرزهای ملّی در‌نظر گرفته شود. حال آنکه وحدتی که سوسیالیسم علمی می‌خواست، پیش از هر‌چیز، وحدت توده‌های زحمتکش و مولّد جامعه و متضمّن دگرگونی اساسی نظام اجتماعی‌‌– اقتصادیِ کشور مستعمره بود. این وحدت، در وهله اول، در چارچوبه مرزهای ملّی صورت می‌گرفت. </w:t>
      </w:r>
    </w:p>
  </w:footnote>
  <w:footnote w:id="76">
    <w:p>
      <w:pPr>
        <w:pStyle w:val="FootnoteText"/>
        <w:bidi/>
      </w:pPr>
      <w:r>
        <w:rPr>
          <w:rStyle w:val="FootnoteReference"/>
        </w:rPr>
        <w:footnoteRef/>
      </w:r>
      <w:r>
        <w:rPr>
          <w:rtl/>
        </w:rPr>
        <w:t xml:space="preserve"> </w:t>
      </w:r>
      <w:r>
        <w:rPr>
          <w:i/>
          <w:iCs/>
          <w:rtl/>
        </w:rPr>
        <w:t xml:space="preserve">‪مجموعهٔ اسناد و مدارک چاپ نشده دربارهٔ سید جمال‌الدین</w:t>
      </w:r>
      <w:r>
        <w:rPr>
          <w:rtl/>
        </w:rPr>
        <w:t xml:space="preserve">، صفحهٔ ۴۵، سند ۱۶۴ </w:t>
      </w:r>
    </w:p>
  </w:footnote>
  <w:footnote w:id="77">
    <w:p>
      <w:pPr>
        <w:pStyle w:val="FootnoteText"/>
        <w:bidi/>
      </w:pPr>
      <w:r>
        <w:rPr>
          <w:rStyle w:val="FootnoteReference"/>
        </w:rPr>
        <w:footnoteRef/>
      </w:r>
      <w:r>
        <w:rPr>
          <w:rtl/>
        </w:rPr>
        <w:t xml:space="preserve"> </w:t>
      </w:r>
      <w:r>
        <w:rPr>
          <w:rtl/>
        </w:rPr>
        <w:t xml:space="preserve">این نهضت همانند آن نهضتی است که عبده و هواداران لیبرالش در مصر، پس از شکست نهضت ملّی و فرارسیدن دوران اختناق در مصر، در سالهای نود قرن نوزدهم، بدان پیوستند. و همانطور که احمد‌خان در این زمان در هند مورد ملاطفت انگلیس قرار گرفت، عبده نیز از نظر لطف انگلیس برخوردار شد.</w:t>
      </w:r>
    </w:p>
    <w:p>
      <w:pPr>
        <w:pStyle w:val="FootnoteText"/>
        <w:bidi/>
      </w:pPr>
      <w:r>
        <w:rPr>
          <w:rtl/>
        </w:rPr>
        <w:t xml:space="preserve">حقیقت آن است که تبلیغ اخذ تمدن غربی و باصطلاح سرمایه‌داری کردن کشور، بدون شرکت در مبارزه سیاسی و استقلال‌طلبانه — آن هم در کشوری که در تصرّف استعمار است — نتیجه‌ای جز نفوذ هر‌چه بیشتر سرمایه استعماری را ندارد و جمال‌الدین بحق متوجه خطر این خط مشی برای استقلال مسلمانان بود.</w:t>
      </w:r>
    </w:p>
    <w:p>
      <w:pPr>
        <w:pStyle w:val="FootnoteText"/>
        <w:bidi/>
      </w:pPr>
      <w:r>
        <w:rPr>
          <w:rtl/>
        </w:rPr>
        <w:t xml:space="preserve">سید محمد‌علی داعی، پروفسور نظام کالج حیدر‌آباد دکن، در این مورد می‌نویسد: «… سید احمد می‌گفت اول باید مسلمانان علوم اروپائی را بیاموزند بعد خودشان قهراً در خط مستوی سیاست خواهند افتاد.» (مجلهٔ ارمغان، سال ۱۵، شماره ۶، صفحات ۴۶۷ تا ۴۷۴) ولی نظر وی دایر بر اینکه «… سید‌جمال‌الدین می‌خواست مسلمانان بدون علم اروپائی، اروپائی شوند»، با حقیقت آموزش‌های جمال‌الدین موافقت ندارد. جمال‌الدین، به سهم خود، خواهان تمدن غرب است ولی به شیوه خاصّ خود. </w:t>
      </w:r>
    </w:p>
  </w:footnote>
  <w:footnote w:id="78">
    <w:p>
      <w:pPr>
        <w:pStyle w:val="FootnoteText"/>
        <w:bidi/>
      </w:pPr>
      <w:r>
        <w:rPr>
          <w:rStyle w:val="FootnoteReference"/>
        </w:rPr>
        <w:footnoteRef/>
      </w:r>
      <w:r>
        <w:rPr>
          <w:rtl/>
        </w:rPr>
        <w:t xml:space="preserve"> </w:t>
      </w:r>
      <w:r>
        <w:rPr>
          <w:rtl/>
        </w:rPr>
        <w:t xml:space="preserve">به مقالهٔ «مفسر قرآن»، نوشته محمد‌علی داعی، مجلهٔ ارمغان، سال ۱۵، شماره ۶، صفحات ۴۶۷ تا ۴۷۴ مراجعه شود. </w:t>
      </w:r>
    </w:p>
  </w:footnote>
  <w:footnote w:id="79">
    <w:p>
      <w:pPr>
        <w:pStyle w:val="FootnoteText"/>
        <w:bidi/>
      </w:pPr>
      <w:r>
        <w:rPr>
          <w:rStyle w:val="FootnoteReference"/>
        </w:rPr>
        <w:footnoteRef/>
      </w:r>
      <w:r>
        <w:rPr>
          <w:rtl/>
        </w:rPr>
        <w:t xml:space="preserve"> </w:t>
      </w:r>
      <w:r>
        <w:rPr>
          <w:rtl/>
        </w:rPr>
        <w:t xml:space="preserve">«هنگامی که در هند بودیم احساس کردیم که بعضی مردم نادان به یاوه‌های این مرد (منظور سِر‌سید احمد‌خان) و شاگردانش باور کرده‌اند. لذا، رساله‌ای در شرح مکتب فاسد آنها و فساد حاصل از آن نوشتیم و ثابت کردیم که دین اساس تمدن و قوام آبادانی می‌باشد و رساله خود را به دو زبان اردو و فارس چاپ کردیم.» (_الدهریون فی‌الهند_، مجموعه _العروة الوثقی_، صفحهٔ ۴۱۴)</w:t>
      </w:r>
      <w:r>
        <w:rPr>
          <w:rtl/>
        </w:rPr>
        <w:t xml:space="preserve"> </w:t>
      </w:r>
      <w:r>
        <w:rPr>
          <w:rtl/>
        </w:rPr>
        <w:t xml:space="preserve"> </w:t>
      </w:r>
    </w:p>
  </w:footnote>
  <w:footnote w:id="80">
    <w:p>
      <w:pPr>
        <w:pStyle w:val="FootnoteText"/>
        <w:bidi/>
      </w:pPr>
      <w:r>
        <w:rPr>
          <w:rStyle w:val="FootnoteReference"/>
        </w:rPr>
        <w:footnoteRef/>
      </w:r>
      <w:r>
        <w:rPr>
          <w:rtl/>
        </w:rPr>
        <w:t xml:space="preserve"> </w:t>
      </w:r>
      <w:r>
        <w:rPr>
          <w:rtl/>
        </w:rPr>
        <w:t xml:space="preserve">سید محمد‌علی داعی در مورد عدم ذکر صریح نام سید‌احمد‌خان از طرف جمال‌الدین می‌گوید: «جهت اینکه سید جمال‌الدین در انتقاد بر تفسیر مذکور که در ایام توقف در هند نوشتند نام مفسر را نبردند همان شهرت و مقبولیت خدمات علیه سِر‌سید احمد‌خان در تمام دانایان بود — و مجروح ساختن احساسات ایشان کار خوبی تصور نمی‌شد.» (مجلهٔ ارمغان، سال ۱۵، مقالهٔ «مفسر قرآن») </w:t>
      </w:r>
    </w:p>
  </w:footnote>
  <w:footnote w:id="81">
    <w:p>
      <w:pPr>
        <w:pStyle w:val="FootnoteText"/>
        <w:bidi/>
      </w:pPr>
      <w:r>
        <w:rPr>
          <w:rStyle w:val="FootnoteReference"/>
        </w:rPr>
        <w:footnoteRef/>
      </w:r>
      <w:r>
        <w:rPr>
          <w:rtl/>
        </w:rPr>
        <w:t xml:space="preserve"> </w:t>
      </w:r>
      <w:r>
        <w:rPr>
          <w:rtl/>
        </w:rPr>
        <w:t xml:space="preserve">«این دهریون (منظور دهریون هند است) مانند دهریون اروپا نیستند، در کشورهای غربی کسی که دین را رها می‌کند، احساس وطن‌پرستی همچنان در او باقی می‌ماند و غیرت او در حفظ کشور خود از تجاوز بیگانگان کاهش نمی‌یابد، و برای ترقی و دفاع آن از اموال گرانبهای خود می‌گذرد، و در راه آن جان خود را فدا می‌کند.» (</w:t>
      </w:r>
      <w:r>
        <w:rPr>
          <w:i/>
          <w:iCs/>
          <w:rtl/>
        </w:rPr>
        <w:t xml:space="preserve">الدهریون فی‌الهند</w:t>
      </w:r>
      <w:r>
        <w:rPr>
          <w:rtl/>
        </w:rPr>
        <w:t xml:space="preserve">، مجموعه</w:t>
      </w:r>
      <w:r>
        <w:rPr>
          <w:rtl/>
        </w:rPr>
        <w:t xml:space="preserve"> </w:t>
      </w:r>
      <w:r>
        <w:rPr>
          <w:i/>
          <w:iCs/>
          <w:rtl/>
        </w:rPr>
        <w:t xml:space="preserve">العروة الوثقی</w:t>
      </w:r>
      <w:r>
        <w:rPr>
          <w:rtl/>
        </w:rPr>
        <w:t xml:space="preserve">، صفحهٔ ۴۱۵)</w:t>
      </w:r>
    </w:p>
    <w:p>
      <w:pPr>
        <w:pStyle w:val="FootnoteText"/>
        <w:bidi/>
      </w:pPr>
      <w:r>
        <w:rPr>
          <w:rtl/>
        </w:rPr>
        <w:t xml:space="preserve">جمال‌الدین این مطالب را در پاریس می‌نویسد، در پاریسی که دوازده سال پیش از آن تاریخ کمونارهای ماتریالیست، و یا بقول خود او «دهری» و «نیچری» عالی‌ترین حدّ شجاعت و از خود‌گذشتگی را از خود آشکار ساخته بودند. و هم در همان زمان، جمال‌الدین در پاریس عده‌ای از همین دهری‌ها را در صف مبارزین ضدّ‌استعمار مشاهده می‌کرد. پس طبیعی است که موقتاً هم که شده در صحت ادعاهای خود در کتاب «ردّ نیچریه» تردید کند. </w:t>
      </w:r>
    </w:p>
  </w:footnote>
  <w:footnote w:id="82">
    <w:p>
      <w:pPr>
        <w:pStyle w:val="FootnoteText"/>
        <w:bidi/>
      </w:pPr>
      <w:r>
        <w:rPr>
          <w:rStyle w:val="FootnoteReference"/>
        </w:rPr>
        <w:footnoteRef/>
      </w:r>
      <w:r>
        <w:rPr>
          <w:rtl/>
        </w:rPr>
        <w:t xml:space="preserve"> </w:t>
      </w:r>
      <w:r>
        <w:rPr>
          <w:rtl/>
        </w:rPr>
        <w:t xml:space="preserve">در قسمت دوم این پایان نامه توضیحات لازم در این باره داده خواهد شد. </w:t>
      </w:r>
    </w:p>
  </w:footnote>
  <w:footnote w:id="83">
    <w:p>
      <w:pPr>
        <w:pStyle w:val="FootnoteText"/>
        <w:bidi/>
      </w:pPr>
      <w:r>
        <w:rPr>
          <w:rStyle w:val="FootnoteReference"/>
        </w:rPr>
        <w:footnoteRef/>
      </w:r>
      <w:r>
        <w:rPr>
          <w:rtl/>
        </w:rPr>
        <w:t xml:space="preserve"> </w:t>
      </w:r>
      <w:r>
        <w:rPr>
          <w:i/>
          <w:iCs/>
          <w:rtl/>
        </w:rPr>
        <w:t xml:space="preserve">مجموعهٔ اسناد و مدارک چاپ نشده دربارهٔ سید جمال‌الدین</w:t>
      </w:r>
      <w:r>
        <w:rPr>
          <w:rtl/>
        </w:rPr>
        <w:t xml:space="preserve">، صفحهٔ ۶۳، نامهٔ ۲۱۶ </w:t>
      </w:r>
    </w:p>
  </w:footnote>
  <w:footnote w:id="84">
    <w:p>
      <w:pPr>
        <w:pStyle w:val="FootnoteText"/>
        <w:bidi/>
      </w:pPr>
      <w:r>
        <w:rPr>
          <w:rStyle w:val="FootnoteReference"/>
        </w:rPr>
        <w:footnoteRef/>
      </w:r>
      <w:r>
        <w:rPr>
          <w:rtl/>
        </w:rPr>
        <w:t xml:space="preserve"> </w:t>
      </w:r>
      <w:r>
        <w:rPr>
          <w:i/>
          <w:iCs/>
          <w:rtl/>
        </w:rPr>
        <w:t xml:space="preserve">تاریخ بیداری ایرانیان</w:t>
      </w:r>
      <w:r>
        <w:rPr>
          <w:rtl/>
        </w:rPr>
        <w:t xml:space="preserve">، جلد اول، صفحهٔ ۵۸ </w:t>
      </w:r>
    </w:p>
  </w:footnote>
  <w:footnote w:id="86">
    <w:p>
      <w:pPr>
        <w:pStyle w:val="FootnoteText"/>
        <w:bidi/>
      </w:pPr>
      <w:r>
        <w:rPr>
          <w:rStyle w:val="FootnoteReference"/>
        </w:rPr>
        <w:footnoteRef/>
      </w:r>
      <w:r>
        <w:rPr>
          <w:rtl/>
        </w:rPr>
        <w:t xml:space="preserve"> </w:t>
      </w:r>
      <w:r>
        <w:rPr>
          <w:rtl/>
        </w:rPr>
        <w:t xml:space="preserve">مروجان سیاسی وطنیون به مردمِ زقازیق می‌گفتند که «هزاران هکتار زمینی که در دست مالکان است از آن دهقانان می‌باشد.» (تاریخ عرب در قرن جدید، صفحهٔ ۲۲۰)</w:t>
      </w:r>
    </w:p>
    <w:p>
      <w:pPr>
        <w:pStyle w:val="FootnoteText"/>
        <w:bidi/>
      </w:pPr>
      <w:r>
        <w:rPr>
          <w:rtl/>
        </w:rPr>
        <w:t xml:space="preserve">برای درک اینکه عربی تا چه حدّی خود را در سال ۱۸۸۲ به جنبش توده‌ای مردم نزدیک می‌دانست پاسخی را که در جواب وعده مقامی عالی در استانبول به نماینده سلطان عثمانی می‌دهد آموزنده است: «من نمی‌توانم برای کسب جاه و مقام بکوشم. مقامی را که من اکنون برعهده دارم غصب نکرده‌ام. مردم این سِمَت را به من داده‌اند و من باید با آنها باشم و به تظلم آنها رسیدگی کنم.» (همانجا، صفحهٔ ۲۲۲) </w:t>
      </w:r>
    </w:p>
  </w:footnote>
  <w:footnote w:id="87">
    <w:p>
      <w:pPr>
        <w:pStyle w:val="FootnoteText"/>
        <w:bidi/>
      </w:pPr>
      <w:r>
        <w:rPr>
          <w:rStyle w:val="FootnoteReference"/>
        </w:rPr>
        <w:footnoteRef/>
      </w:r>
      <w:r>
        <w:rPr>
          <w:rtl/>
        </w:rPr>
        <w:t xml:space="preserve"> </w:t>
      </w:r>
      <w:r>
        <w:rPr>
          <w:rtl/>
        </w:rPr>
        <w:t xml:space="preserve">رجوع شود به</w:t>
      </w:r>
      <w:r>
        <w:rPr>
          <w:rtl/>
        </w:rPr>
        <w:t xml:space="preserve"> </w:t>
      </w:r>
      <w:r>
        <w:rPr>
          <w:i/>
          <w:iCs/>
          <w:rtl/>
        </w:rPr>
        <w:t xml:space="preserve">نامه به جوانان مصر</w:t>
      </w:r>
      <w:r>
        <w:rPr>
          <w:rtl/>
        </w:rPr>
        <w:t xml:space="preserve">، مندرج در مجلهٔ</w:t>
      </w:r>
      <w:r>
        <w:rPr>
          <w:rtl/>
        </w:rPr>
        <w:t xml:space="preserve"> </w:t>
      </w:r>
      <w:r>
        <w:rPr>
          <w:i/>
          <w:iCs/>
          <w:rtl/>
        </w:rPr>
        <w:t xml:space="preserve">مکتب اسلام</w:t>
      </w:r>
      <w:r>
        <w:rPr>
          <w:rtl/>
        </w:rPr>
        <w:t xml:space="preserve">، شماره ۷، سال ۱۳۴۲ </w:t>
      </w:r>
    </w:p>
  </w:footnote>
  <w:footnote w:id="88">
    <w:p>
      <w:pPr>
        <w:pStyle w:val="FootnoteText"/>
        <w:bidi/>
      </w:pPr>
      <w:r>
        <w:rPr>
          <w:rStyle w:val="FootnoteReference"/>
        </w:rPr>
        <w:footnoteRef/>
      </w:r>
      <w:r>
        <w:rPr>
          <w:rtl/>
        </w:rPr>
        <w:t xml:space="preserve"> </w:t>
      </w:r>
      <w:r>
        <w:rPr>
          <w:rtl/>
        </w:rPr>
        <w:t xml:space="preserve">در نامه‌ای که در سال ۱۸۸۵ عربی برای تقاضای</w:t>
      </w:r>
      <w:r>
        <w:rPr>
          <w:rtl/>
        </w:rPr>
        <w:t xml:space="preserve"> </w:t>
      </w:r>
      <w:r>
        <w:rPr>
          <w:i/>
          <w:iCs/>
          <w:rtl/>
        </w:rPr>
        <w:t xml:space="preserve">عروة الوثقی</w:t>
      </w:r>
      <w:r>
        <w:rPr>
          <w:rtl/>
        </w:rPr>
        <w:t xml:space="preserve"> </w:t>
      </w:r>
      <w:r>
        <w:rPr>
          <w:rtl/>
        </w:rPr>
        <w:t xml:space="preserve">به جمال‌الدین نوشته و در اوراق شخصی وی باقی مانده، عربی نام جمال‌الدین را با احترام زیاد ذکر می‌کند (رجوع شود به مجموعهٔ اسناد و مدارک چاپ نشده دربارهٔ سید جمال‌الدین، صفحهٔ ۵۵، نامهٔ شماره ۱۷۳). </w:t>
      </w:r>
    </w:p>
  </w:footnote>
  <w:footnote w:id="90">
    <w:p>
      <w:pPr>
        <w:pStyle w:val="FootnoteText"/>
        <w:bidi/>
      </w:pPr>
      <w:r>
        <w:rPr>
          <w:rStyle w:val="FootnoteReference"/>
        </w:rPr>
        <w:footnoteRef/>
      </w:r>
      <w:r>
        <w:rPr>
          <w:rtl/>
        </w:rPr>
        <w:t xml:space="preserve"> </w:t>
      </w:r>
      <w:r>
        <w:rPr>
          <w:rtl/>
        </w:rPr>
        <w:t xml:space="preserve">رجوع شود به_تاریخ عرب در قرن جدید_، فصل ۱۹، دولت مهدی در سودان شرقی. </w:t>
      </w:r>
    </w:p>
  </w:footnote>
  <w:footnote w:id="91">
    <w:p>
      <w:pPr>
        <w:pStyle w:val="FootnoteText"/>
        <w:bidi/>
      </w:pPr>
      <w:r>
        <w:rPr>
          <w:rStyle w:val="FootnoteReference"/>
        </w:rPr>
        <w:footnoteRef/>
      </w:r>
      <w:r>
        <w:rPr>
          <w:rtl/>
        </w:rPr>
        <w:t xml:space="preserve"> </w:t>
      </w:r>
      <w:r>
        <w:rPr>
          <w:rtl/>
        </w:rPr>
        <w:t xml:space="preserve">تبدیل بعدی آن به یک دولت فئودالی معمولی و سرانجام شکست از نیروهای استعماری نیز به علت همین خصلت دهقانی نهضت و نداشتن تشکّل طبقاتی لازم بود. البتّه این بدام معنی نیست که اگر این نهضت تحت رهبری بورژوازی ملّی سودان قرار می‌گرفت به پیروزی نائل می‌شد. پیروزی نهضت ملّی تحت رهبری بورژوازی ملّی در شرائط سلطه استعماری میسر نیست. </w:t>
      </w:r>
    </w:p>
  </w:footnote>
  <w:footnote w:id="92">
    <w:p>
      <w:pPr>
        <w:pStyle w:val="FootnoteText"/>
        <w:bidi/>
      </w:pPr>
      <w:r>
        <w:rPr>
          <w:rStyle w:val="FootnoteReference"/>
        </w:rPr>
        <w:footnoteRef/>
      </w:r>
      <w:r>
        <w:rPr>
          <w:rtl/>
        </w:rPr>
        <w:t xml:space="preserve"> </w:t>
      </w:r>
      <w:r>
        <w:rPr>
          <w:rtl/>
        </w:rPr>
        <w:t xml:space="preserve">تنها موردی که در</w:t>
      </w:r>
      <w:r>
        <w:rPr>
          <w:rtl/>
        </w:rPr>
        <w:t xml:space="preserve"> </w:t>
      </w:r>
      <w:r>
        <w:rPr>
          <w:i/>
          <w:iCs/>
          <w:rtl/>
        </w:rPr>
        <w:t xml:space="preserve">عروة الوثقی</w:t>
      </w:r>
      <w:r>
        <w:rPr>
          <w:rtl/>
        </w:rPr>
        <w:t xml:space="preserve"> </w:t>
      </w:r>
      <w:r>
        <w:rPr>
          <w:rtl/>
        </w:rPr>
        <w:t xml:space="preserve">به روشهای مشخص کار مهدیون اشاره شده است موردی است که خبری دائر بر مدارای مهدیون با اقلیتهای مذهبی سودان ذکر کرده و سپس اظهار نظر می‌کند که از اینجا معلوم است مردی خردمند رهبری قیام را در دست دارد (رجوع شود به مقالهٔ</w:t>
      </w:r>
      <w:r>
        <w:rPr>
          <w:rtl/>
        </w:rPr>
        <w:t xml:space="preserve"> </w:t>
      </w:r>
      <w:r>
        <w:rPr>
          <w:i/>
          <w:iCs/>
          <w:rtl/>
        </w:rPr>
        <w:t xml:space="preserve">معامله محمد احمد للرسل المسیحیین</w:t>
      </w:r>
      <w:r>
        <w:rPr>
          <w:rtl/>
        </w:rPr>
        <w:t xml:space="preserve">، مجموعه</w:t>
      </w:r>
      <w:r>
        <w:rPr>
          <w:rtl/>
        </w:rPr>
        <w:t xml:space="preserve"> </w:t>
      </w:r>
      <w:r>
        <w:rPr>
          <w:i/>
          <w:iCs/>
          <w:rtl/>
        </w:rPr>
        <w:t xml:space="preserve">العروة الوثقی</w:t>
      </w:r>
      <w:r>
        <w:rPr>
          <w:rtl/>
        </w:rPr>
        <w:t xml:space="preserve">، صفحهٔ ۲۴۳). </w:t>
      </w:r>
    </w:p>
  </w:footnote>
  <w:footnote w:id="93">
    <w:p>
      <w:pPr>
        <w:pStyle w:val="FootnoteText"/>
        <w:bidi/>
      </w:pPr>
      <w:r>
        <w:rPr>
          <w:rStyle w:val="FootnoteReference"/>
        </w:rPr>
        <w:footnoteRef/>
      </w:r>
      <w:r>
        <w:rPr>
          <w:rtl/>
        </w:rPr>
        <w:t xml:space="preserve"> </w:t>
      </w:r>
      <w:r>
        <w:rPr>
          <w:rtl/>
        </w:rPr>
        <w:t xml:space="preserve">«مهدی و پیروانش… ترکها، مصریان و اروپائیان را مسبب فساد اخلاق در سودان دانستند و ایشان را همچون مسلمانان دروغین توصیف می‌کردند و مردم را به احیای پاکیزگیِ گذشتۀ دوران اولیّۀ اسلام، اعادۀ مساوات و برادری جهانی، تقسیم اموال و املاک و مصادره املاک فئودالهای ترک، مصری و سودانی بنفع مردمان تهی‌دست دعوت می‌کردند و نیز مردم را به قیام علیه تاراج‌گری اروپائیان و استبداد پادشاهان ترک و مصری می‌خواندند. ایشان می‌گفتند: «کندن هزار قبر بهتر از پرداخت یک دینار مالیات است.» (نقل از کتاب</w:t>
      </w:r>
      <w:r>
        <w:rPr>
          <w:rtl/>
        </w:rPr>
        <w:t xml:space="preserve"> </w:t>
      </w:r>
      <w:r>
        <w:rPr>
          <w:i/>
          <w:iCs/>
          <w:rtl/>
        </w:rPr>
        <w:t xml:space="preserve">تاریخ عرب در قرن جدید</w:t>
      </w:r>
      <w:r>
        <w:rPr>
          <w:rtl/>
        </w:rPr>
        <w:t xml:space="preserve">، اثر لوتسکی، ترجمه پرویز بابائی). </w:t>
      </w:r>
    </w:p>
  </w:footnote>
  <w:footnote w:id="94">
    <w:p>
      <w:pPr>
        <w:pStyle w:val="FootnoteText"/>
        <w:bidi/>
      </w:pPr>
      <w:r>
        <w:rPr>
          <w:rStyle w:val="FootnoteReference"/>
        </w:rPr>
        <w:footnoteRef/>
      </w:r>
      <w:r>
        <w:rPr>
          <w:rtl/>
        </w:rPr>
        <w:t xml:space="preserve"> </w:t>
      </w:r>
      <w:r>
        <w:rPr>
          <w:rtl/>
        </w:rPr>
        <w:t xml:space="preserve">مندرجات مقالهٔ مویلحی با مطالبی که پلنت در یادداشتهای روزانه خود پیرامون مذاکرات جمال‌الدین با مقامات دولت انگلیس آورده است مطابقت اساسی دارد: (رجوع شود به</w:t>
      </w:r>
      <w:r>
        <w:rPr>
          <w:rtl/>
        </w:rPr>
        <w:t xml:space="preserve"> </w:t>
      </w:r>
      <w:r>
        <w:rPr>
          <w:i/>
          <w:iCs/>
          <w:rtl/>
        </w:rPr>
        <w:t xml:space="preserve">خواندنیها</w:t>
      </w:r>
      <w:r>
        <w:rPr>
          <w:rtl/>
        </w:rPr>
        <w:t xml:space="preserve">، سال ۲۴، مدارک ارسالی آقای علی مشیری). </w:t>
      </w:r>
    </w:p>
  </w:footnote>
  <w:footnote w:id="95">
    <w:p>
      <w:pPr>
        <w:pStyle w:val="FootnoteText"/>
        <w:bidi/>
      </w:pPr>
      <w:r>
        <w:rPr>
          <w:rStyle w:val="FootnoteReference"/>
        </w:rPr>
        <w:footnoteRef/>
      </w:r>
      <w:r>
        <w:rPr>
          <w:rtl/>
        </w:rPr>
        <w:t xml:space="preserve"> </w:t>
      </w:r>
      <w:r>
        <w:rPr>
          <w:i/>
          <w:iCs/>
          <w:rtl/>
        </w:rPr>
        <w:t xml:space="preserve">اسناد و مدارک چاپ نشده دربارهٔ سید جمال‌الدین</w:t>
      </w:r>
      <w:r>
        <w:rPr>
          <w:rtl/>
        </w:rPr>
        <w:t xml:space="preserve">، صفحهٔ ۴۱، سند ۱۶۴. </w:t>
      </w:r>
    </w:p>
  </w:footnote>
  <w:footnote w:id="97">
    <w:p>
      <w:pPr>
        <w:pStyle w:val="FootnoteText"/>
        <w:bidi/>
      </w:pPr>
      <w:r>
        <w:rPr>
          <w:rStyle w:val="FootnoteReference"/>
        </w:rPr>
        <w:footnoteRef/>
      </w:r>
      <w:r>
        <w:rPr>
          <w:rtl/>
        </w:rPr>
        <w:t xml:space="preserve"> </w:t>
      </w:r>
      <w:r>
        <w:rPr>
          <w:rtl/>
        </w:rPr>
        <w:t xml:space="preserve">جرجی زیدان ذکر نمی‌کند که آیا بانی این انجمن خود جمال‌الدین بوده و یا کسان دیگری ولی چنانکه از نامهٔ سابق‌الذکر محمد بر می‌آید ریاست انجمن با خود جمال‌الدین بوده است. </w:t>
      </w:r>
    </w:p>
  </w:footnote>
  <w:footnote w:id="98">
    <w:p>
      <w:pPr>
        <w:pStyle w:val="FootnoteText"/>
        <w:bidi/>
      </w:pPr>
      <w:r>
        <w:rPr>
          <w:rStyle w:val="FootnoteReference"/>
        </w:rPr>
        <w:footnoteRef/>
      </w:r>
      <w:r>
        <w:rPr>
          <w:rtl/>
        </w:rPr>
        <w:t xml:space="preserve"> </w:t>
      </w:r>
      <w:r>
        <w:rPr>
          <w:rtl/>
        </w:rPr>
        <w:t xml:space="preserve">در خود مجله راجع به این انجمن توضیح صریح وجود ندارد. در مقالهٔ قضا و قدر ظاهراً در وصف همین انجمن میگوید: «باز هم تاریخ را ورق بزنید، خواهید دید که گروهی فداکار پس از حوادث ناگوار اخیر، نهضت جدیدی را بوجود آوردند، نهضتی که در شرق و غربِ جهان اسلام در افکار گروهی روشن‌بین بوجود آمد و در سایه آن عده‌ای از افراد صالح و نیکوسرشت، دور هم گرد آمدند و به امید پیروزی حق و عدالت، بکوشش خستگی‌ناپذیری برخاستند… هدف آنان ایجاد اتّحاد و گرد‌هم آوردن گروههای متفرق بوده و کوچکترین کارشان، انتشار دادن یک نشریه به زبان عربی است تا همزۀ وصل بین دوستان دور از هم گردد…» (رجوع شود به ترجمه فارسی مقالهٔ منتشره در کتاب</w:t>
      </w:r>
      <w:r>
        <w:rPr>
          <w:rtl/>
        </w:rPr>
        <w:t xml:space="preserve"> </w:t>
      </w:r>
      <w:r>
        <w:rPr>
          <w:i/>
          <w:iCs/>
          <w:rtl/>
        </w:rPr>
        <w:t xml:space="preserve">اسلام و علم</w:t>
      </w:r>
      <w:r>
        <w:rPr>
          <w:rtl/>
        </w:rPr>
        <w:t xml:space="preserve">). </w:t>
      </w:r>
    </w:p>
  </w:footnote>
  <w:footnote w:id="99">
    <w:p>
      <w:pPr>
        <w:pStyle w:val="FootnoteText"/>
        <w:bidi/>
      </w:pPr>
      <w:r>
        <w:rPr>
          <w:rStyle w:val="FootnoteReference"/>
        </w:rPr>
        <w:footnoteRef/>
      </w:r>
      <w:r>
        <w:rPr>
          <w:rtl/>
        </w:rPr>
        <w:t xml:space="preserve"> </w:t>
      </w:r>
      <w:r>
        <w:rPr>
          <w:i/>
          <w:iCs/>
          <w:rtl/>
        </w:rPr>
        <w:t xml:space="preserve">اسناد و مدارک چاپ نشده دربارهٔ سید جمال‌الدین</w:t>
      </w:r>
      <w:r>
        <w:rPr>
          <w:rtl/>
        </w:rPr>
        <w:t xml:space="preserve">، صفحهٔ ۶۳، نامهٔ ۲۱۶. </w:t>
      </w:r>
    </w:p>
  </w:footnote>
  <w:footnote w:id="100">
    <w:p>
      <w:pPr>
        <w:pStyle w:val="FootnoteText"/>
        <w:bidi/>
      </w:pPr>
      <w:r>
        <w:rPr>
          <w:rStyle w:val="FootnoteReference"/>
        </w:rPr>
        <w:footnoteRef/>
      </w:r>
      <w:r>
        <w:rPr>
          <w:rtl/>
        </w:rPr>
        <w:t xml:space="preserve"> </w:t>
      </w:r>
      <w:r>
        <w:rPr>
          <w:rtl/>
        </w:rPr>
        <w:t xml:space="preserve">رجوع شود به صفحات ۳۴ و ۳۵ همین پایان نامه. </w:t>
      </w:r>
    </w:p>
  </w:footnote>
  <w:footnote w:id="101">
    <w:p>
      <w:pPr>
        <w:pStyle w:val="FootnoteText"/>
        <w:bidi/>
      </w:pPr>
      <w:r>
        <w:rPr>
          <w:rStyle w:val="FootnoteReference"/>
        </w:rPr>
        <w:footnoteRef/>
      </w:r>
      <w:r>
        <w:rPr>
          <w:rtl/>
        </w:rPr>
        <w:t xml:space="preserve"> </w:t>
      </w:r>
      <w:r>
        <w:rPr>
          <w:rtl/>
        </w:rPr>
        <w:t xml:space="preserve">رجوع شود به قسمت دوم همین پایان نامه. </w:t>
      </w:r>
    </w:p>
  </w:footnote>
  <w:footnote w:id="102">
    <w:p>
      <w:pPr>
        <w:pStyle w:val="FootnoteText"/>
        <w:bidi/>
      </w:pPr>
      <w:r>
        <w:rPr>
          <w:rStyle w:val="FootnoteReference"/>
        </w:rPr>
        <w:footnoteRef/>
      </w:r>
      <w:r>
        <w:rPr>
          <w:rtl/>
        </w:rPr>
        <w:t xml:space="preserve"> </w:t>
      </w:r>
      <w:r>
        <w:rPr>
          <w:rtl/>
        </w:rPr>
        <w:t xml:space="preserve">«دولت فرانسه در سرزمین مصر امتیازاتی دارد که در شُرُف نابودی است و تضییع آنها برایش آسان نیست همچنین در ماوراء بحر احمر اراضی وسیعی دارد که پیروزی انگلستان در مصر به هر اسم و عنوانی سلسله او را بر این اراضی دچار مخاطره می‌کند.» (مقالهٔ</w:t>
      </w:r>
      <w:r>
        <w:rPr>
          <w:rtl/>
        </w:rPr>
        <w:t xml:space="preserve"> </w:t>
      </w:r>
      <w:r>
        <w:rPr>
          <w:i/>
          <w:iCs/>
          <w:rtl/>
        </w:rPr>
        <w:t xml:space="preserve">فرصة سانحة</w:t>
      </w:r>
      <w:r>
        <w:rPr>
          <w:rtl/>
        </w:rPr>
        <w:t xml:space="preserve">، مجموعه</w:t>
      </w:r>
      <w:r>
        <w:rPr>
          <w:rtl/>
        </w:rPr>
        <w:t xml:space="preserve"> </w:t>
      </w:r>
      <w:r>
        <w:rPr>
          <w:i/>
          <w:iCs/>
          <w:rtl/>
        </w:rPr>
        <w:t xml:space="preserve">العروة الوثقی</w:t>
      </w:r>
      <w:r>
        <w:rPr>
          <w:rtl/>
        </w:rPr>
        <w:t xml:space="preserve">، صفحات ۳۰۷ و ۳۰۸) </w:t>
      </w:r>
    </w:p>
  </w:footnote>
  <w:footnote w:id="103">
    <w:p>
      <w:pPr>
        <w:pStyle w:val="FootnoteText"/>
        <w:bidi/>
      </w:pPr>
      <w:r>
        <w:rPr>
          <w:rStyle w:val="FootnoteReference"/>
        </w:rPr>
        <w:footnoteRef/>
      </w:r>
      <w:r>
        <w:rPr>
          <w:rtl/>
        </w:rPr>
        <w:t xml:space="preserve"> </w:t>
      </w:r>
      <w:r>
        <w:rPr>
          <w:rtl/>
        </w:rPr>
        <w:t xml:space="preserve">همین ممنوعیت باعث شد که</w:t>
      </w:r>
      <w:r>
        <w:rPr>
          <w:rtl/>
        </w:rPr>
        <w:t xml:space="preserve"> </w:t>
      </w:r>
      <w:r>
        <w:rPr>
          <w:i/>
          <w:iCs/>
          <w:rtl/>
        </w:rPr>
        <w:t xml:space="preserve">عروة الوثقی</w:t>
      </w:r>
      <w:r>
        <w:rPr>
          <w:rtl/>
        </w:rPr>
        <w:t xml:space="preserve">، که مجاناً برای مشترکین ارسال می‌شد و مخارج آن ظاهراً توسط انجمن عروة الوثقی تأمین می‌شد نتوانست خواننده کافی پیدا کند و تمهیداتی از این قبیل که نشریه را در پاکتهای مخصوص نامه بگذارند و بدون امضاء برای افراد بفرستند نیز مؤثر نیفتاد و نشریه تعطیل شد. </w:t>
      </w:r>
    </w:p>
  </w:footnote>
  <w:footnote w:id="104">
    <w:p>
      <w:pPr>
        <w:pStyle w:val="FootnoteText"/>
        <w:bidi/>
      </w:pPr>
      <w:r>
        <w:rPr>
          <w:rStyle w:val="FootnoteReference"/>
        </w:rPr>
        <w:footnoteRef/>
      </w:r>
      <w:r>
        <w:rPr>
          <w:rtl/>
        </w:rPr>
        <w:t xml:space="preserve"> </w:t>
      </w:r>
      <w:r>
        <w:rPr>
          <w:rtl/>
        </w:rPr>
        <w:t xml:space="preserve">منع</w:t>
      </w:r>
      <w:r>
        <w:rPr>
          <w:rtl/>
        </w:rPr>
        <w:t xml:space="preserve"> </w:t>
      </w:r>
      <w:r>
        <w:rPr>
          <w:i/>
          <w:iCs/>
          <w:rtl/>
        </w:rPr>
        <w:t xml:space="preserve">العروة الوثقی</w:t>
      </w:r>
      <w:r>
        <w:rPr>
          <w:rtl/>
        </w:rPr>
        <w:t xml:space="preserve"> </w:t>
      </w:r>
      <w:r>
        <w:rPr>
          <w:rtl/>
        </w:rPr>
        <w:t xml:space="preserve">فی مصر و الهند و فرض غرامة علی قرائها، مجموعه</w:t>
      </w:r>
      <w:r>
        <w:rPr>
          <w:rtl/>
        </w:rPr>
        <w:t xml:space="preserve"> </w:t>
      </w:r>
      <w:r>
        <w:rPr>
          <w:i/>
          <w:iCs/>
          <w:rtl/>
        </w:rPr>
        <w:t xml:space="preserve">العروة الوثقی</w:t>
      </w:r>
      <w:r>
        <w:rPr>
          <w:rtl/>
        </w:rPr>
        <w:t xml:space="preserve">، صفحات ۳۲۱ تا ۳۲۳. </w:t>
      </w:r>
    </w:p>
  </w:footnote>
  <w:footnote w:id="106">
    <w:p>
      <w:pPr>
        <w:pStyle w:val="FootnoteText"/>
        <w:bidi/>
      </w:pPr>
      <w:r>
        <w:rPr>
          <w:rStyle w:val="FootnoteReference"/>
        </w:rPr>
        <w:footnoteRef/>
      </w:r>
      <w:r>
        <w:rPr>
          <w:rtl/>
        </w:rPr>
        <w:t xml:space="preserve"> </w:t>
      </w:r>
      <w:r>
        <w:rPr>
          <w:rtl/>
        </w:rPr>
        <w:t xml:space="preserve">رجوع شود به</w:t>
      </w:r>
      <w:r>
        <w:rPr>
          <w:rtl/>
        </w:rPr>
        <w:t xml:space="preserve"> </w:t>
      </w:r>
      <w:r>
        <w:rPr>
          <w:i/>
          <w:iCs/>
          <w:rtl/>
        </w:rPr>
        <w:t xml:space="preserve">العروة الوثقی</w:t>
      </w:r>
      <w:r>
        <w:rPr>
          <w:rtl/>
        </w:rPr>
        <w:t xml:space="preserve">، صفحهٔ ۱۶۷. </w:t>
      </w:r>
    </w:p>
  </w:footnote>
  <w:footnote w:id="107">
    <w:p>
      <w:pPr>
        <w:pStyle w:val="FootnoteText"/>
        <w:bidi/>
      </w:pPr>
      <w:r>
        <w:rPr>
          <w:rStyle w:val="FootnoteReference"/>
        </w:rPr>
        <w:footnoteRef/>
      </w:r>
      <w:r>
        <w:rPr>
          <w:rtl/>
        </w:rPr>
        <w:t xml:space="preserve"> </w:t>
      </w:r>
      <w:r>
        <w:rPr>
          <w:rtl/>
        </w:rPr>
        <w:t xml:space="preserve">ملحقات کتاب</w:t>
      </w:r>
      <w:r>
        <w:rPr>
          <w:rtl/>
        </w:rPr>
        <w:t xml:space="preserve"> </w:t>
      </w:r>
      <w:r>
        <w:rPr>
          <w:i/>
          <w:iCs/>
          <w:rtl/>
        </w:rPr>
        <w:t xml:space="preserve">نقش سید جمال در بیداری مشرق زمین</w:t>
      </w:r>
      <w:r>
        <w:rPr>
          <w:rtl/>
        </w:rPr>
        <w:t xml:space="preserve">، صفحهٔ ۲۵۴. </w:t>
      </w:r>
    </w:p>
  </w:footnote>
  <w:footnote w:id="108">
    <w:p>
      <w:pPr>
        <w:pStyle w:val="FootnoteText"/>
        <w:bidi/>
      </w:pPr>
      <w:r>
        <w:rPr>
          <w:rStyle w:val="FootnoteReference"/>
        </w:rPr>
        <w:footnoteRef/>
      </w:r>
      <w:r>
        <w:rPr>
          <w:rtl/>
        </w:rPr>
        <w:t xml:space="preserve"> </w:t>
      </w:r>
      <w:r>
        <w:rPr>
          <w:rtl/>
        </w:rPr>
        <w:t xml:space="preserve">جرجی زیدان در مورد مقام جمال‌الدین نزد ناصر‌الدین شاه می‌گوید که: «ناصر‌الدین شاه او را بخوبی تلقی و استقبال نمود و در نزد او بقدری عزیز گردید که بر تمام اولاد و کسان خویش مقدمش می‌داشت و نظارت اداره حربیه خود را برای تکمیل بدو تفویض نمود و او را وعده داد که بزودی بر مسند صدارت ارتقایش دهد…» (</w:t>
      </w:r>
      <w:r>
        <w:rPr>
          <w:i/>
          <w:iCs/>
          <w:rtl/>
        </w:rPr>
        <w:t xml:space="preserve">تاریخ بیداری ایرانیان</w:t>
      </w:r>
      <w:r>
        <w:rPr>
          <w:rtl/>
        </w:rPr>
        <w:t xml:space="preserve">، جلد اول، صفحهٔ ۵۹)</w:t>
      </w:r>
    </w:p>
    <w:p>
      <w:pPr>
        <w:pStyle w:val="FootnoteText"/>
        <w:bidi/>
      </w:pPr>
      <w:r>
        <w:rPr>
          <w:rtl/>
        </w:rPr>
        <w:t xml:space="preserve">این گفته جرجی زیدان با واقعیت تطبیق ندارد. همانطور که کسروی میگوید صدراعظمی در ایران زمان ناصر‌الدین شاه شرائطی را لازم داشت که مسلماً جمال‌الدین حائز آن نبوده است. </w:t>
      </w:r>
    </w:p>
  </w:footnote>
  <w:footnote w:id="109">
    <w:p>
      <w:pPr>
        <w:pStyle w:val="FootnoteText"/>
        <w:bidi/>
      </w:pPr>
      <w:r>
        <w:rPr>
          <w:rStyle w:val="FootnoteReference"/>
        </w:rPr>
        <w:footnoteRef/>
      </w:r>
      <w:r>
        <w:rPr>
          <w:rtl/>
        </w:rPr>
        <w:t xml:space="preserve"> </w:t>
      </w:r>
      <w:r>
        <w:rPr>
          <w:rtl/>
        </w:rPr>
        <w:t xml:space="preserve">در منابع موجود، معمولاً برای تبیین اختلاف جمال‌الدین و ناصر‌الدین شاه به موضوع جنبه شخصی می‌دهند. مثلاً، صدر واثقی یکی از علل این اختلاف را: «منزل گرفتنش (منظور جمال‌الدین است) برخلاف نظر شاه و اعتماد‌السلطنه»، علت دیگر را «سعایت معین نظام و نایب‌السطنه» (کامران میرزا و اعتماد‌السلطنه و صدر‌اعظم)» می‌داند. (</w:t>
      </w:r>
      <w:r>
        <w:rPr>
          <w:rtl/>
        </w:rPr>
        <w:t xml:space="preserve"> </w:t>
      </w:r>
      <w:r>
        <w:rPr>
          <w:i/>
          <w:iCs/>
          <w:rtl/>
        </w:rPr>
        <w:t xml:space="preserve">سید جمال‌الدین حسینی پایه‌گذار نهضتهای اسلامی</w:t>
      </w:r>
      <w:r>
        <w:rPr>
          <w:rtl/>
        </w:rPr>
        <w:t xml:space="preserve">، صفحهٔ ۱۴۶). در زیر این دلخوریها و «سعایت»‌ها باید منافع قشر حاکمه‌ای را دید که با همه جهالت و نادانی‌ای که امثال صدر واثقی به وی نسبت داده‌اند با هوشیاری و آگاهی به منافع طبقاتی خویش و سیاستهای استعماری که در خدمت آن است، عمل می‌کند. </w:t>
      </w:r>
    </w:p>
  </w:footnote>
  <w:footnote w:id="110">
    <w:p>
      <w:pPr>
        <w:pStyle w:val="FootnoteText"/>
        <w:bidi/>
      </w:pPr>
      <w:r>
        <w:rPr>
          <w:rStyle w:val="FootnoteReference"/>
        </w:rPr>
        <w:footnoteRef/>
      </w:r>
      <w:r>
        <w:rPr>
          <w:rtl/>
        </w:rPr>
        <w:t xml:space="preserve"> </w:t>
      </w:r>
      <w:r>
        <w:rPr>
          <w:rtl/>
        </w:rPr>
        <w:t xml:space="preserve">در قسمت دوم این پایان نامه زیر عنوان «پایگاه اجتماعی جمال‌الدین» در مورد ترکیب طبقاتی هواداران جمال‌الدین در ایران و علت هواداری آنها توضیح خواهم داد. جرجی زیدان در مورد ترکیب طبقاتی کسانی که در ایران به جمال‌الدین توجه داشتند چنین می‌نویسد: «… سید بواسطه اطلاعات علمیه و سیاسیه و احاطه بر تواریخ عالم و اخلاق امم و طلاقت لسان و حسن بیان به اندازه‌ای در</w:t>
      </w:r>
      <w:r>
        <w:rPr>
          <w:rtl/>
        </w:rPr>
        <w:t xml:space="preserve"> </w:t>
      </w:r>
      <w:r>
        <w:rPr>
          <w:i/>
          <w:iCs/>
          <w:rtl/>
        </w:rPr>
        <w:t xml:space="preserve">علما</w:t>
      </w:r>
      <w:r>
        <w:rPr>
          <w:rtl/>
        </w:rPr>
        <w:t xml:space="preserve"> </w:t>
      </w:r>
      <w:r>
        <w:rPr>
          <w:rtl/>
        </w:rPr>
        <w:t xml:space="preserve">و_ امراء_ و</w:t>
      </w:r>
      <w:r>
        <w:rPr>
          <w:rtl/>
        </w:rPr>
        <w:t xml:space="preserve"> </w:t>
      </w:r>
      <w:r>
        <w:rPr>
          <w:i/>
          <w:iCs/>
          <w:rtl/>
        </w:rPr>
        <w:t xml:space="preserve">بزرگان</w:t>
      </w:r>
      <w:r>
        <w:rPr>
          <w:rtl/>
        </w:rPr>
        <w:t xml:space="preserve"> </w:t>
      </w:r>
      <w:r>
        <w:rPr>
          <w:rtl/>
        </w:rPr>
        <w:t xml:space="preserve">ایران نفوذ و منزلت و مقامی حاصل نمود که کمتر کسی در آن عصر می‌توانست آن درجه از مقام عالی تحصیل نماید، منزلش مجمع</w:t>
      </w:r>
      <w:r>
        <w:rPr>
          <w:rtl/>
        </w:rPr>
        <w:t xml:space="preserve"> </w:t>
      </w:r>
      <w:r>
        <w:rPr>
          <w:i/>
          <w:iCs/>
          <w:rtl/>
        </w:rPr>
        <w:t xml:space="preserve">بزرگان</w:t>
      </w:r>
      <w:r>
        <w:rPr>
          <w:rtl/>
        </w:rPr>
        <w:t xml:space="preserve"> </w:t>
      </w:r>
      <w:r>
        <w:rPr>
          <w:rtl/>
        </w:rPr>
        <w:t xml:space="preserve">و مطاف</w:t>
      </w:r>
      <w:r>
        <w:rPr>
          <w:rtl/>
        </w:rPr>
        <w:t xml:space="preserve"> </w:t>
      </w:r>
      <w:r>
        <w:rPr>
          <w:i/>
          <w:iCs/>
          <w:rtl/>
        </w:rPr>
        <w:t xml:space="preserve">اشراف</w:t>
      </w:r>
      <w:r>
        <w:rPr>
          <w:rtl/>
        </w:rPr>
        <w:t xml:space="preserve"> </w:t>
      </w:r>
      <w:r>
        <w:rPr>
          <w:rtl/>
        </w:rPr>
        <w:t xml:space="preserve">و</w:t>
      </w:r>
      <w:r>
        <w:rPr>
          <w:rtl/>
        </w:rPr>
        <w:t xml:space="preserve"> </w:t>
      </w:r>
      <w:r>
        <w:rPr>
          <w:i/>
          <w:iCs/>
          <w:rtl/>
        </w:rPr>
        <w:t xml:space="preserve">اعیان</w:t>
      </w:r>
      <w:r>
        <w:rPr>
          <w:rtl/>
        </w:rPr>
        <w:t xml:space="preserve"> </w:t>
      </w:r>
      <w:r>
        <w:rPr>
          <w:rtl/>
        </w:rPr>
        <w:t xml:space="preserve">گردید…» (تکیه روی کلمات از من است)،</w:t>
      </w:r>
      <w:r>
        <w:rPr>
          <w:rtl/>
        </w:rPr>
        <w:t xml:space="preserve"> </w:t>
      </w:r>
      <w:r>
        <w:rPr>
          <w:i/>
          <w:iCs/>
          <w:rtl/>
        </w:rPr>
        <w:t xml:space="preserve">تاریخ بیداری ایرانیان</w:t>
      </w:r>
      <w:r>
        <w:rPr>
          <w:rtl/>
        </w:rPr>
        <w:t xml:space="preserve">، جلد اول، صفحهٔ ۵۹. </w:t>
      </w:r>
    </w:p>
  </w:footnote>
  <w:footnote w:id="111">
    <w:p>
      <w:pPr>
        <w:pStyle w:val="FootnoteText"/>
        <w:bidi/>
      </w:pPr>
      <w:r>
        <w:rPr>
          <w:rStyle w:val="FootnoteReference"/>
        </w:rPr>
        <w:footnoteRef/>
      </w:r>
      <w:r>
        <w:rPr>
          <w:rtl/>
        </w:rPr>
        <w:t xml:space="preserve"> </w:t>
      </w:r>
      <w:r>
        <w:rPr>
          <w:rtl/>
        </w:rPr>
        <w:t xml:space="preserve">رجوع شود به</w:t>
      </w:r>
      <w:r>
        <w:rPr>
          <w:rtl/>
        </w:rPr>
        <w:t xml:space="preserve"> </w:t>
      </w:r>
      <w:r>
        <w:rPr>
          <w:i/>
          <w:iCs/>
          <w:rtl/>
        </w:rPr>
        <w:t xml:space="preserve">نامهٔ جمال‌الدین از شاه عبد‌العظیم به ناصر‌الدین شاه</w:t>
      </w:r>
      <w:r>
        <w:rPr>
          <w:rtl/>
        </w:rPr>
        <w:t xml:space="preserve">. </w:t>
      </w:r>
    </w:p>
  </w:footnote>
  <w:footnote w:id="112">
    <w:p>
      <w:pPr>
        <w:pStyle w:val="FootnoteText"/>
        <w:bidi/>
      </w:pPr>
      <w:r>
        <w:rPr>
          <w:rStyle w:val="FootnoteReference"/>
        </w:rPr>
        <w:footnoteRef/>
      </w:r>
      <w:r>
        <w:rPr>
          <w:rtl/>
        </w:rPr>
        <w:t xml:space="preserve"> </w:t>
      </w:r>
      <w:r>
        <w:rPr>
          <w:rtl/>
        </w:rPr>
        <w:t xml:space="preserve">رجوع شود به</w:t>
      </w:r>
      <w:r>
        <w:rPr>
          <w:rtl/>
        </w:rPr>
        <w:t xml:space="preserve"> </w:t>
      </w:r>
      <w:r>
        <w:rPr>
          <w:i/>
          <w:iCs/>
          <w:rtl/>
        </w:rPr>
        <w:t xml:space="preserve">مجموعه اسناد و مدارک چاپ نشده دربارهٔ سید جمال‌الدین</w:t>
      </w:r>
      <w:r>
        <w:rPr>
          <w:rtl/>
        </w:rPr>
        <w:t xml:space="preserve">، تصاویر ۱۵۰ تا ۱۵۳. </w:t>
      </w:r>
    </w:p>
  </w:footnote>
  <w:footnote w:id="113">
    <w:p>
      <w:pPr>
        <w:pStyle w:val="FootnoteText"/>
        <w:bidi/>
      </w:pPr>
      <w:r>
        <w:rPr>
          <w:rStyle w:val="FootnoteReference"/>
        </w:rPr>
        <w:footnoteRef/>
      </w:r>
      <w:r>
        <w:rPr>
          <w:rtl/>
        </w:rPr>
        <w:t xml:space="preserve"> </w:t>
      </w:r>
      <w:r>
        <w:rPr>
          <w:rtl/>
        </w:rPr>
        <w:t xml:space="preserve">در نامه‌ای که بعد از اخراج از تهران برای امین‌الدوله می‌نویسد٬ خودِ جمال‌الدین به این امر که مأموران دولت احتمال می‌دادند مردم به حمایت از او برخیزند اشاره کرده این فکر آنها را به سخریه می‌گیرد. عبارت او عینا چنین است: «چون خوف آن داشتند که مبادا اندک اسلامی در قلوب اهل شاه عبد‌العظیم مانده بسبب غیرت دینی از من حمایت کنند و حال آنکه خیال باطل و فکر محال بوده چون که اسلام و دین و غیرت و حمیّت مدتی است که از آن ولایت هجرت نموده چنانچه همیشه می‌گفتم.» (ملحقات کتاب</w:t>
      </w:r>
      <w:r>
        <w:rPr>
          <w:rtl/>
        </w:rPr>
        <w:t xml:space="preserve"> </w:t>
      </w:r>
      <w:r>
        <w:rPr>
          <w:i/>
          <w:iCs/>
          <w:rtl/>
        </w:rPr>
        <w:t xml:space="preserve">نقش سید جمال‌الدین در بیداری مشرق زمین</w:t>
      </w:r>
      <w:r>
        <w:rPr>
          <w:rtl/>
        </w:rPr>
        <w:t xml:space="preserve">، صفحهٔ ۱۹۲).</w:t>
      </w:r>
    </w:p>
    <w:p>
      <w:pPr>
        <w:pStyle w:val="FootnoteText"/>
        <w:bidi/>
      </w:pPr>
      <w:r>
        <w:rPr>
          <w:rtl/>
        </w:rPr>
        <w:t xml:space="preserve">در پایان همین نامه از مصائبی که بر او گذشته اظهار مسرت می‌کند و می‌گوید: «ولی در همهٔ این حالات روح من مسرور بوده و هست و خواهد بود و بلاشک بعضی ایرانیان خواهند دانست که من برای اصلاح احوال صوری و معنوی ایشان تا هر درجه ایستادگی دارم.» </w:t>
      </w:r>
    </w:p>
  </w:footnote>
  <w:footnote w:id="114">
    <w:p>
      <w:pPr>
        <w:pStyle w:val="FootnoteText"/>
        <w:bidi/>
      </w:pPr>
      <w:r>
        <w:rPr>
          <w:rStyle w:val="FootnoteReference"/>
        </w:rPr>
        <w:footnoteRef/>
      </w:r>
      <w:r>
        <w:rPr>
          <w:rtl/>
        </w:rPr>
        <w:t xml:space="preserve"> </w:t>
      </w:r>
      <w:r>
        <w:rPr>
          <w:rtl/>
        </w:rPr>
        <w:t xml:space="preserve">مثلاً، حاج سیاح محلاتی، پس از مشاهده خشم دولتیان نسبت به جمال‌الدین در مسجد ملا فیض‌الله که پس از ذکر نام او توسط یکی از وعاظ ابراز شده، میگوید: «من رفتم منزل آقا سید جمال‌الدین و با حاجی امین‌الضرب و او خلوت کرده گفتم من عزم دارم مدتی در تهران نباشم خطری نزدیک می‌بینم از خطر نمی‌ترسم و جان‌بازی در این راه شرف است لیکن قطعا نتیجه ندارد و اثر نمی‌بخشد. انسان خود را به مهلکه بیندازد و آن هم بی‌ثمر عقلا و شرعاً روا نیست.» (مراجعه شود به خاطرات حاج سیاح) </w:t>
      </w:r>
    </w:p>
  </w:footnote>
  <w:footnote w:id="115">
    <w:p>
      <w:pPr>
        <w:pStyle w:val="FootnoteText"/>
        <w:bidi/>
      </w:pPr>
      <w:r>
        <w:rPr>
          <w:rStyle w:val="FootnoteReference"/>
        </w:rPr>
        <w:footnoteRef/>
      </w:r>
      <w:r>
        <w:rPr>
          <w:rtl/>
        </w:rPr>
        <w:t xml:space="preserve"> </w:t>
      </w:r>
      <w:r>
        <w:rPr>
          <w:i/>
          <w:iCs/>
          <w:rtl/>
        </w:rPr>
        <w:t xml:space="preserve">مجموعهٔ اسناد و مدارک چاپ نشده دربارهٔ سید جمال‌الدین</w:t>
      </w:r>
      <w:r>
        <w:rPr>
          <w:rtl/>
        </w:rPr>
        <w:t xml:space="preserve">، صفحهٔ ۱۰۹. </w:t>
      </w:r>
    </w:p>
  </w:footnote>
  <w:footnote w:id="116">
    <w:p>
      <w:pPr>
        <w:pStyle w:val="FootnoteText"/>
        <w:bidi/>
      </w:pPr>
      <w:r>
        <w:rPr>
          <w:rStyle w:val="FootnoteReference"/>
        </w:rPr>
        <w:footnoteRef/>
      </w:r>
      <w:r>
        <w:rPr>
          <w:rtl/>
        </w:rPr>
        <w:t xml:space="preserve"> </w:t>
      </w:r>
      <w:r>
        <w:rPr>
          <w:rtl/>
        </w:rPr>
        <w:t xml:space="preserve">قتل ناصر‌الدین شاه به دست میرزا رضا وضع را از این هم وخیمتر کرد. ناظم‌الاسلام کرمانی تعریف می‌کند که چگونه پس از قتل ناصر‌الدین شاه او تا مدتی خود را «ناظم‌الاسلام خراسانی» معرفی می‌کرده تا مبادا همشهری بودن او با میرزا رضا دردسری برای او ایجاد کند. حال اگر این ناظم‌الاسلام را یکی از مبارزین مرحله اول نهضت مشروطه ایران بدانیم — او کسی است که برای نخستین بار تاریخ مشروطه ایران را می‌نویسد — می‌توانیم معیاری برای شهامت عمل این اصلاح‌طلبان بدست آوریم. </w:t>
      </w:r>
    </w:p>
  </w:footnote>
  <w:footnote w:id="118">
    <w:p>
      <w:pPr>
        <w:pStyle w:val="FootnoteText"/>
        <w:bidi/>
      </w:pPr>
      <w:r>
        <w:rPr>
          <w:rStyle w:val="FootnoteReference"/>
        </w:rPr>
        <w:footnoteRef/>
      </w:r>
      <w:r>
        <w:rPr>
          <w:rtl/>
        </w:rPr>
        <w:t xml:space="preserve"> </w:t>
      </w:r>
      <w:r>
        <w:rPr>
          <w:rtl/>
        </w:rPr>
        <w:t xml:space="preserve">رجوع شود به</w:t>
      </w:r>
      <w:r>
        <w:rPr>
          <w:rtl/>
        </w:rPr>
        <w:t xml:space="preserve"> </w:t>
      </w:r>
      <w:r>
        <w:rPr>
          <w:i/>
          <w:iCs/>
          <w:rtl/>
        </w:rPr>
        <w:t xml:space="preserve">مقالهٔ «سید جمال‌الدین اسدآبادی در بغداد»</w:t>
      </w:r>
      <w:r>
        <w:rPr>
          <w:rtl/>
        </w:rPr>
        <w:t xml:space="preserve">، نوشته آقای صادق نشأت. (</w:t>
      </w:r>
      <w:r>
        <w:rPr>
          <w:i/>
          <w:iCs/>
          <w:rtl/>
        </w:rPr>
        <w:t xml:space="preserve">اسناد و مدارک چاپ نشده دربارهٔ سید جمال‌الدی</w:t>
      </w:r>
      <w:r>
        <w:rPr>
          <w:rtl/>
        </w:rPr>
        <w:t xml:space="preserve">، صفحات ۱۴۰ - ۱۲۵). </w:t>
      </w:r>
    </w:p>
  </w:footnote>
  <w:footnote w:id="119">
    <w:p>
      <w:pPr>
        <w:pStyle w:val="FootnoteText"/>
        <w:bidi/>
      </w:pPr>
      <w:r>
        <w:rPr>
          <w:rStyle w:val="FootnoteReference"/>
        </w:rPr>
        <w:footnoteRef/>
      </w:r>
      <w:r>
        <w:rPr>
          <w:rtl/>
        </w:rPr>
        <w:t xml:space="preserve"> </w:t>
      </w:r>
      <w:r>
        <w:rPr>
          <w:rtl/>
        </w:rPr>
        <w:t xml:space="preserve">اهمیّت این نامه در درک عقاید سیاسی جمال‌الدین بسیار زیاد است و بخوبی می‌تواند برای تشریح نیروهائی که جمال‌الدین به کمک آنها می‌خواهد جامعهٔ ایده‌آل خود را بسازد و دلائلی که برای این امر دارد به ما کمک کند. من در قسمت دوم این پایان نامه، نامهٔ جمال‌الدین را به میرزای شیرازی و نامهٔ معروف به «حمله القران» را از این دیدگاه مورد بررسی قرار خواهم داد. </w:t>
      </w:r>
    </w:p>
  </w:footnote>
  <w:footnote w:id="120">
    <w:p>
      <w:pPr>
        <w:pStyle w:val="FootnoteText"/>
        <w:bidi/>
      </w:pPr>
      <w:r>
        <w:rPr>
          <w:rStyle w:val="FootnoteReference"/>
        </w:rPr>
        <w:footnoteRef/>
      </w:r>
      <w:r>
        <w:rPr>
          <w:rtl/>
        </w:rPr>
        <w:t xml:space="preserve"> </w:t>
      </w:r>
      <w:r>
        <w:rPr>
          <w:i/>
          <w:iCs/>
          <w:rtl/>
        </w:rPr>
        <w:t xml:space="preserve">ترجمه دو نامه از بزرگترین فیلسوف شرق سید جمال‌الدین اسد‌آبادی</w:t>
      </w:r>
      <w:r>
        <w:rPr>
          <w:rtl/>
        </w:rPr>
        <w:t xml:space="preserve">، صفحهٔ ۱۲.</w:t>
      </w:r>
    </w:p>
    <w:p>
      <w:pPr>
        <w:pStyle w:val="FootnoteText"/>
        <w:bidi/>
      </w:pPr>
      <w:r>
        <w:rPr>
          <w:rtl/>
        </w:rPr>
        <w:t xml:space="preserve">اساساً ما همواره جمال‌الدین را به دولت عثمانی وفادار می‌بینیم و در خفا و آشکار برای تحکیم خلافت عثمانی فعالیتهای او را مشاهده می‌کنیم. تجریه‌ای نظیر تجربه او در دربار ایران، در دربار عثمانی نیز لازم است تا این خوش‌بینی جمال‌الدین نسبت به سلطان و حکومت عثمانی نیز مرتفع گردد. </w:t>
      </w:r>
    </w:p>
  </w:footnote>
  <w:footnote w:id="121">
    <w:p>
      <w:pPr>
        <w:pStyle w:val="FootnoteText"/>
        <w:bidi/>
      </w:pPr>
      <w:r>
        <w:rPr>
          <w:rStyle w:val="FootnoteReference"/>
        </w:rPr>
        <w:footnoteRef/>
      </w:r>
      <w:r>
        <w:rPr>
          <w:rtl/>
        </w:rPr>
        <w:t xml:space="preserve"> </w:t>
      </w:r>
      <w:r>
        <w:rPr>
          <w:rtl/>
        </w:rPr>
        <w:t xml:space="preserve">و نه بیش از آن. جمال‌الدین بعداً از نامهٔ «حمله القران» هیچ نتیجه‌ای نمی‌گیرد و همین میرزای شیرازی حاضر به ملاقات و قبول ارتباط با او نمی‌شود.</w:t>
      </w:r>
    </w:p>
    <w:p>
      <w:pPr>
        <w:pStyle w:val="FootnoteText"/>
        <w:bidi/>
      </w:pPr>
      <w:r>
        <w:rPr>
          <w:rtl/>
        </w:rPr>
        <w:t xml:space="preserve">در مورد نا‌استواری این باصطلاح آزادیخواهان اشراف نیز، میرزا رضا با سادگی قابل تحسینی سخن می‌گوید و ضمن آنکه می‌گوید تصمیم خود را دایر بر کشتن شاه به اطلاع هیچکس نرسانیده دلیلش را چنین بیان می‌کند: «… اگر همچو خیال بزرگی را من با احدی می‌گفتم حکماً منتشر میگردید و مقصود باطل می‌شد. وانگهی تجربه کرده بودم که این مردم (از سیاق کلام و گفته‌های بعدی کاملاً معلوم است که منظور از «مردم» در اینجا همان «ملک‌ها» و «دوله‌ها» و «سلطنه‌ها» هستند)، چقدر سست‌عنصر و حب جاه و حیات دارند و در آن اوقاتی که گفتگوی تنباکو و غیره در میان بود که مقصود فقط اصلاح اوضاع بود و ابدا خیال کشتن شاه و کسی در میان نبود چقدر این ملک‌ها و دوله‌ها و سلطنه‌ها که با قلم و قدم و درم هم‌عهد شده بودند و می‌گفتند تا همه جا حاضریم همین که دیدند برای ما گرفتاری پیدا شد همه خود را کنار کشیدند…دیدم نامرد هستند…» (</w:t>
      </w:r>
      <w:r>
        <w:rPr>
          <w:i/>
          <w:iCs/>
          <w:rtl/>
        </w:rPr>
        <w:t xml:space="preserve">تاریخ بیداری ایرانیان</w:t>
      </w:r>
      <w:r>
        <w:rPr>
          <w:rtl/>
        </w:rPr>
        <w:t xml:space="preserve">، جلد اول، صفحهٔ ۸۳) </w:t>
      </w:r>
    </w:p>
  </w:footnote>
  <w:footnote w:id="122">
    <w:p>
      <w:pPr>
        <w:pStyle w:val="FootnoteText"/>
        <w:bidi/>
      </w:pPr>
      <w:r>
        <w:rPr>
          <w:rStyle w:val="FootnoteReference"/>
        </w:rPr>
        <w:footnoteRef/>
      </w:r>
      <w:r>
        <w:rPr>
          <w:rtl/>
        </w:rPr>
        <w:t xml:space="preserve"> </w:t>
      </w:r>
      <w:r>
        <w:rPr>
          <w:rtl/>
        </w:rPr>
        <w:t xml:space="preserve">اساساً این سازمان جز از طریق مسالمت‌آمیز به شیوه دیگری نمی‌توانست به نهضت بپیوندد. </w:t>
      </w:r>
    </w:p>
  </w:footnote>
  <w:footnote w:id="123">
    <w:p>
      <w:pPr>
        <w:pStyle w:val="FootnoteText"/>
        <w:bidi/>
      </w:pPr>
      <w:r>
        <w:rPr>
          <w:rStyle w:val="FootnoteReference"/>
        </w:rPr>
        <w:footnoteRef/>
      </w:r>
      <w:r>
        <w:rPr>
          <w:rtl/>
        </w:rPr>
        <w:t xml:space="preserve"> </w:t>
      </w:r>
      <w:r>
        <w:rPr>
          <w:rtl/>
        </w:rPr>
        <w:t xml:space="preserve">بررسی جریان این نهضت و چگونگی ارتباط آن با نهضت مشروطیت ایران از موضوع این پایان نامه خارج است. </w:t>
      </w:r>
    </w:p>
  </w:footnote>
  <w:footnote w:id="124">
    <w:p>
      <w:pPr>
        <w:pStyle w:val="FootnoteText"/>
        <w:bidi/>
      </w:pPr>
      <w:r>
        <w:rPr>
          <w:rStyle w:val="FootnoteReference"/>
        </w:rPr>
        <w:footnoteRef/>
      </w:r>
      <w:r>
        <w:rPr>
          <w:rtl/>
        </w:rPr>
        <w:t xml:space="preserve"> </w:t>
      </w:r>
      <w:r>
        <w:rPr>
          <w:rtl/>
        </w:rPr>
        <w:t xml:space="preserve">نامه به علمای ایران، رجوع شود به</w:t>
      </w:r>
      <w:r>
        <w:rPr>
          <w:rtl/>
        </w:rPr>
        <w:t xml:space="preserve"> </w:t>
      </w:r>
      <w:r>
        <w:rPr>
          <w:i/>
          <w:iCs/>
          <w:rtl/>
        </w:rPr>
        <w:t xml:space="preserve">دو نامه از بزرگترین فیلسوفان شرق</w:t>
      </w:r>
      <w:r>
        <w:rPr>
          <w:rtl/>
        </w:rPr>
        <w:t xml:space="preserve">. </w:t>
      </w:r>
    </w:p>
  </w:footnote>
  <w:footnote w:id="126">
    <w:p>
      <w:pPr>
        <w:pStyle w:val="FootnoteText"/>
        <w:bidi/>
      </w:pPr>
      <w:r>
        <w:rPr>
          <w:rStyle w:val="FootnoteReference"/>
        </w:rPr>
        <w:footnoteRef/>
      </w:r>
      <w:r>
        <w:rPr>
          <w:rtl/>
        </w:rPr>
        <w:t xml:space="preserve"> </w:t>
      </w:r>
      <w:r>
        <w:rPr>
          <w:rtl/>
        </w:rPr>
        <w:t xml:space="preserve">اغلب میرزا رضا حتّی در آثار نویسندگان مشروطه‌خواه، در عمل بصورت ابزاری در دست جمال‌الدین توصیف شده است که از روی عشق به جمال‌الدین و بخاطر جبران بی‌حرمتی‌ای که هنگام بیرون کشیدن وی از بست نسبت به او روا داشته‌اند بقتل ناصر‌الدین شاه دست زده است. توجه به همین دو نوشته‌ای که از میرزا رضا باقی مانده، یعنی متن بازجوئیهای او، کذب این ادّعا را ثابت می‌کند. </w:t>
      </w:r>
    </w:p>
  </w:footnote>
  <w:footnote w:id="127">
    <w:p>
      <w:pPr>
        <w:pStyle w:val="FootnoteText"/>
        <w:bidi/>
      </w:pPr>
      <w:r>
        <w:rPr>
          <w:rStyle w:val="FootnoteReference"/>
        </w:rPr>
        <w:footnoteRef/>
      </w:r>
      <w:r>
        <w:rPr>
          <w:rtl/>
        </w:rPr>
        <w:t xml:space="preserve"> </w:t>
      </w:r>
      <w:r>
        <w:rPr>
          <w:rtl/>
        </w:rPr>
        <w:t xml:space="preserve">این ادعای خان ملک ساسانی که ظاهراً با تصدیق گفته ناظم‌الاسلام، جمال‌الدین را عامل انگلیس می‌داند که برای از هم پاشیدن حکومت عثمانی فعالیت می‌کند، با این ادّعا که جمال‌الدین به کمک میرزا حسین خان خبیر‌الملک «برای خلع ناصر‌الدین شاه و کشیدن ایران زیر لوای خلافت عثمانی کاغذ‌پرانی بسیار می‌کرد…» مغایرت دارد. بفرض که دولت عثمانی با میهمان‌نوازیهای خود جمال‌الدین را فریفته باشد، ولی این فقط در صورتی قابل تصور است که هر‌چند تلوّن مزاج او را بپذیریم باز به استقلال رأی او حکم کنیم. اگر جمال‌الدین عامل انگلیس بود نمی‌بایست قادر به تغییر رأی باشد.</w:t>
      </w:r>
    </w:p>
    <w:p>
      <w:pPr>
        <w:pStyle w:val="FootnoteText"/>
        <w:bidi/>
      </w:pPr>
      <w:r>
        <w:rPr>
          <w:rtl/>
        </w:rPr>
        <w:t xml:space="preserve">بهر‌حال عنوان کردن نوکری جمال‌الدین در نزد انگلیس صرفاً به استناد گفته مأمور دولت ایران مغایر روحیه تاریخ‌نویسی علمی است — بطور کلی کتاب</w:t>
      </w:r>
      <w:r>
        <w:rPr>
          <w:rtl/>
        </w:rPr>
        <w:t xml:space="preserve"> </w:t>
      </w:r>
      <w:r>
        <w:rPr>
          <w:i/>
          <w:iCs/>
          <w:rtl/>
        </w:rPr>
        <w:t xml:space="preserve">سیاستگران دورهٔ قاجار</w:t>
      </w:r>
      <w:r>
        <w:rPr>
          <w:rtl/>
        </w:rPr>
        <w:t xml:space="preserve">، در استفاده از اسناد دولتی زیاده‌روی کرده: مطالبی که در این اسناد آمده اکثراً بهتانهائی است که دولت ایران — و مخصوصاً — سردمداران آن میکوشند بهر نحوی شده خود را از عواقب قتل شاه برکنار دارند — به جمال‌الدین می‌بندند. مثلاً در تلگراف امین‌السطان به میرزا محمد‌علی خان علاء‌السلطنه وزیر مختار ایران در لندن (و در صفحهٔ ۲۱۲</w:t>
      </w:r>
      <w:r>
        <w:rPr>
          <w:rtl/>
        </w:rPr>
        <w:t xml:space="preserve"> </w:t>
      </w:r>
      <w:r>
        <w:rPr>
          <w:i/>
          <w:iCs/>
          <w:rtl/>
        </w:rPr>
        <w:t xml:space="preserve">سیاستگران</w:t>
      </w:r>
      <w:r>
        <w:rPr>
          <w:rtl/>
        </w:rPr>
        <w:t xml:space="preserve"> </w:t>
      </w:r>
      <w:r>
        <w:rPr>
          <w:rtl/>
        </w:rPr>
        <w:t xml:space="preserve">درج شده است) امین‌السطان به جمال‌الدین نسبتهائی می‌دهد که ظاهراً خود خان ملک ساسانی نیز جائی در اثبات آنها نکوشیده است. امین‌السطان از جمله چنین میگوید: «… او (جمال‌الدین) مذهب و عقیده آنارشیک دارد ولی با طایفه بابیه هم محض اینکه جمعیتی دارند و قوتی پیدا کند در دو ساله اخیر متحد شده و با جمعی از رؤسای بابیه مقیم اسلامبول بهم ساخته.» این مطالب همه بی‌اساس است و کسی که از الفباء سیاست آگاه باشد مثلاً براحتی می‌فهمد که چه مسافت بزرگی میان آنارشیسم و عقاید جمال‌الدین وجود دارد. </w:t>
      </w:r>
    </w:p>
  </w:footnote>
  <w:footnote w:id="128">
    <w:p>
      <w:pPr>
        <w:pStyle w:val="FootnoteText"/>
        <w:bidi/>
      </w:pPr>
      <w:r>
        <w:rPr>
          <w:rStyle w:val="FootnoteReference"/>
        </w:rPr>
        <w:footnoteRef/>
      </w:r>
      <w:r>
        <w:rPr>
          <w:rtl/>
        </w:rPr>
        <w:t xml:space="preserve"> </w:t>
      </w:r>
      <w:r>
        <w:rPr>
          <w:rtl/>
        </w:rPr>
        <w:t xml:space="preserve">اکثراً در نوشته‌های این دورهٔ مشروطه‌خواهان، استبداد کسانی نظیر عبدالحمید و ناصر‌الدین شاه را به جهالت آنها نسبت می‌دهند. لیکن اگر خطرهائی را که برقراری آزادی واقعی در کشور برای مقام این قبیل سلطانها دارد درست در‌نظر بگیریم می‌فهمیم که استبداد آنها زائیده کمال آگاهی آنها از موقعیت اجتماعی و طبقاتی خود می‌باشد. </w:t>
      </w:r>
    </w:p>
  </w:footnote>
  <w:footnote w:id="129">
    <w:p>
      <w:pPr>
        <w:pStyle w:val="FootnoteText"/>
        <w:bidi/>
      </w:pPr>
      <w:r>
        <w:rPr>
          <w:rStyle w:val="FootnoteReference"/>
        </w:rPr>
        <w:footnoteRef/>
      </w:r>
      <w:r>
        <w:rPr>
          <w:rtl/>
        </w:rPr>
        <w:t xml:space="preserve"> </w:t>
      </w:r>
      <w:r>
        <w:rPr>
          <w:rtl/>
        </w:rPr>
        <w:t xml:space="preserve">در مورد انگیزه آن دسته از علمائی که با فکر اتّحاد اسلامیِ جمال‌الدین و نامه‌های او موافقت کردند میرزا رضا با صراحت سخن می‌گوید و ظاهراً تا حدّی آنها را به سُخره می‌گیرد: «… بلی تمام جواب نوشته و اظهار عبودیت کردند، بعضی آخوندها و ملاهای لاشخور را مگر نمی‌شناسید وعده پول و امتیازات بشنوند، دیگر آرام می‌گیرند؟…»،</w:t>
      </w:r>
      <w:r>
        <w:rPr>
          <w:rtl/>
        </w:rPr>
        <w:t xml:space="preserve"> </w:t>
      </w:r>
      <w:r>
        <w:rPr>
          <w:i/>
          <w:iCs/>
          <w:rtl/>
        </w:rPr>
        <w:t xml:space="preserve">تاریخ بیداری ایرانیان</w:t>
      </w:r>
      <w:r>
        <w:rPr>
          <w:rtl/>
        </w:rPr>
        <w:t xml:space="preserve">، جلد اول، صفحهٔ ۹۰. </w:t>
      </w:r>
    </w:p>
  </w:footnote>
  <w:footnote w:id="130">
    <w:p>
      <w:pPr>
        <w:pStyle w:val="FootnoteText"/>
        <w:bidi/>
      </w:pPr>
      <w:r>
        <w:rPr>
          <w:rStyle w:val="FootnoteReference"/>
        </w:rPr>
        <w:footnoteRef/>
      </w:r>
      <w:r>
        <w:rPr>
          <w:rtl/>
        </w:rPr>
        <w:t xml:space="preserve"> </w:t>
      </w:r>
      <w:r>
        <w:rPr>
          <w:rtl/>
        </w:rPr>
        <w:t xml:space="preserve">ظاهراً سلطان عثمانی در امر خنثی کردن جمال‌الدین موفّق شده است. زیرا در این دورهٔ پنج ساله هیچ فعالیتی از او جز نامه‌نویسی سابق‌الذکر، سر‌نزده است. اقدام به قتل ناصر‌الدین شاه بنظر من تصمیمی است که میرزا رضا خود مستقلاً به آن مبادرت کرده و همانطور که در متن بازجوئی خود او منعکس است این کار را قبول عقاید جمال‌الدین برای او موجه نشان داده است نه آنکه به تحریک شخص او این کار را انجام داده باشد. </w:t>
      </w:r>
    </w:p>
  </w:footnote>
  <w:footnote w:id="131">
    <w:p>
      <w:pPr>
        <w:pStyle w:val="FootnoteText"/>
        <w:bidi/>
      </w:pPr>
      <w:r>
        <w:rPr>
          <w:rStyle w:val="FootnoteReference"/>
        </w:rPr>
        <w:footnoteRef/>
      </w:r>
      <w:r>
        <w:rPr>
          <w:rtl/>
        </w:rPr>
        <w:t xml:space="preserve"> </w:t>
      </w:r>
      <w:r>
        <w:rPr>
          <w:rtl/>
        </w:rPr>
        <w:t xml:space="preserve">این گفته جمال‌الدین را که میرزا رضای کرمانی در متن بازجوئی خود بازگو می‌کند مقایسه کنید با گفته مخزومی که می‌گوید: «جمال‌الدین گفت: پادشاه (منظور سلطان عثمانی است) را دیدم که خیل بیدار و هوشیار و مهیاست که نیرنگهای اروپا را از بین ببرد و استعداد و توانائی خوبی دارد که دولت را تکان دهد.» (</w:t>
      </w:r>
      <w:r>
        <w:rPr>
          <w:i/>
          <w:iCs/>
          <w:rtl/>
        </w:rPr>
        <w:t xml:space="preserve">خاطرات سید جمال‌الدین اسدآبادی</w:t>
      </w:r>
      <w:r>
        <w:rPr>
          <w:rtl/>
        </w:rPr>
        <w:t xml:space="preserve">، صفحهٔ ۶۱)</w:t>
      </w:r>
    </w:p>
    <w:p>
      <w:pPr>
        <w:pStyle w:val="FootnoteText"/>
        <w:bidi/>
      </w:pPr>
      <w:r>
        <w:rPr>
          <w:rtl/>
        </w:rPr>
        <w:t xml:space="preserve">مخزومی از اینگونه جملات تملق‌آمیز نسبت به سلطان عثمانی زیاد در دهان جمال‌الدین می‌گذارد. </w:t>
      </w:r>
    </w:p>
  </w:footnote>
  <w:footnote w:id="132">
    <w:p>
      <w:pPr>
        <w:pStyle w:val="FootnoteText"/>
        <w:bidi/>
      </w:pPr>
      <w:r>
        <w:rPr>
          <w:rStyle w:val="FootnoteReference"/>
        </w:rPr>
        <w:footnoteRef/>
      </w:r>
      <w:r>
        <w:rPr>
          <w:rtl/>
        </w:rPr>
        <w:t xml:space="preserve"> </w:t>
      </w:r>
      <w:r>
        <w:rPr>
          <w:rtl/>
        </w:rPr>
        <w:t xml:space="preserve">نویسنده کتاب</w:t>
      </w:r>
      <w:r>
        <w:rPr>
          <w:rtl/>
        </w:rPr>
        <w:t xml:space="preserve"> </w:t>
      </w:r>
      <w:r>
        <w:rPr>
          <w:i/>
          <w:iCs/>
          <w:rtl/>
        </w:rPr>
        <w:t xml:space="preserve">سیاستگران دورهٔ قاجار</w:t>
      </w:r>
      <w:r>
        <w:rPr>
          <w:rtl/>
        </w:rPr>
        <w:t xml:space="preserve"> </w:t>
      </w:r>
      <w:r>
        <w:rPr>
          <w:rtl/>
        </w:rPr>
        <w:t xml:space="preserve">دورهٔ قاجار از رجوع دولت ایران به سفارت انگلیس جهت کمک به تحویل جمال‌الدین می‌خواهد وابستگی جمال‌الدین را به سیاست انگلیس نتیجه بگیرد. ولی از این توسل به دیپلوماسی انگلیس آسان‌تر می‌توان در جهت اثبات وابستگی دولت ایران و احیاناً عثمانی به انگلیس نتیجه‌گیری کرد که آب نمی‌خورند بدون اجازه سفرای کشورهای استعمارگر. اگر در آرشیوهای دولتی و آرشیوهای وزارت امور خارجه مدارکی موجود است که دولت ایران در مورد تحویل جمال‌الدین به سفارت انگلیس رجوع کرده و از وی خواسته است با اعلام عدم حمایت خود از جمال‌الدین دولت عثمانی را در تحویل او به ایران آزاد بگذارد، در همین آرشیوها مدارک بسیاری نیز می‌توان یافت که در آنها دولت ایران برای کسب تکلیف جهت خلع فلان وزیر یا نصب فلان صدر‌اعظم به سفارتهای خارجی رجوع کرده است. </w:t>
      </w:r>
    </w:p>
  </w:footnote>
  <w:footnote w:id="133">
    <w:p>
      <w:pPr>
        <w:pStyle w:val="FootnoteText"/>
        <w:bidi/>
      </w:pPr>
      <w:r>
        <w:rPr>
          <w:rStyle w:val="FootnoteReference"/>
        </w:rPr>
        <w:footnoteRef/>
      </w:r>
      <w:r>
        <w:rPr>
          <w:rtl/>
        </w:rPr>
        <w:t xml:space="preserve"> </w:t>
      </w:r>
      <w:r>
        <w:rPr>
          <w:rtl/>
        </w:rPr>
        <w:t xml:space="preserve">گفته خان ملک ساسانی دایر بر اینکه دولت عثمانی بدروغ وجود سرطان را در فکّ جمال‌الدین اشاعه داده تا دولت ایران از تعقیب جریان تسلیم او دست بردارد، و استناد به گفتهٔ عبدالحسین همدانی (صفحهٔ ۲۲۲</w:t>
      </w:r>
      <w:r>
        <w:rPr>
          <w:rtl/>
        </w:rPr>
        <w:t xml:space="preserve"> </w:t>
      </w:r>
      <w:r>
        <w:rPr>
          <w:i/>
          <w:iCs/>
          <w:rtl/>
        </w:rPr>
        <w:t xml:space="preserve">سیاستگران دوره قاجار</w:t>
      </w:r>
      <w:r>
        <w:rPr>
          <w:rtl/>
        </w:rPr>
        <w:t xml:space="preserve">) و سید برهان‌الدین بلخی ـ (صفحات ۲۲۱ و ۲۲۲) معقول بنظر نمی‌رسد. اگر سلطان می‌خواست چنین مطلبی واقعاً بدروغ شایع شود می‌بایست هرگونه رابطه با او را قطع کرده باشد یا لااقل با توجه به حساسیت سفارت ایران در استانبول و کنجکاوی‌ها و احیاناً جاسوسی‌های این سفارت در مورد وضع جمال‌الدین چگونه می‌توان تصور کرد که سلطان اعتماد کرده کسانی نظیر اشخاص فوق‌الذکر را نزد جمال‌الدین راه داده باشد و آنها او را تا روز آخر سالم دیده باشند و چگونه ممکن بود مسموم کردن او در حضور یک «همدانی» صورت گیرد. </w:t>
      </w:r>
    </w:p>
  </w:footnote>
  <w:footnote w:id="134">
    <w:p>
      <w:pPr>
        <w:pStyle w:val="FootnoteText"/>
        <w:bidi/>
      </w:pPr>
      <w:r>
        <w:rPr>
          <w:rStyle w:val="FootnoteReference"/>
        </w:rPr>
        <w:footnoteRef/>
      </w:r>
      <w:r>
        <w:rPr>
          <w:rtl/>
        </w:rPr>
        <w:t xml:space="preserve"> </w:t>
      </w:r>
      <w:r>
        <w:rPr>
          <w:rtl/>
        </w:rPr>
        <w:t xml:space="preserve">محیط طباطبائی می‌نویسد: «سید که در پناه شهرت افغانی توانسته بود از بد‌اندیشی نمایندگان سیاسی آن عصر ایران، در کشورهای خارجی مصون بماند و پس از سی سال مبارزه، غریب و بی‌کس در قفس عبدالحمیدی جان به جان آفرین تسلیم و تن بی‌جان به خاک گورستان «مشایخ» سپرد عاقبت نگذاشتند در قبر خود هم آرام بماند و برخلاف دستور دین اسلام گور او را شکافتند و استخوانهای بازمانده‌اش را از این در به آن در و از این کشور به آن کشور، برفراز خاک و هوا و آب، جابجا کردند تا در دامنه کوهستان کابل دوباره بخاک سپردند.» (</w:t>
      </w:r>
      <w:r>
        <w:rPr>
          <w:i/>
          <w:iCs/>
          <w:rtl/>
        </w:rPr>
        <w:t xml:space="preserve">نقش سید جمال‌الدین در بیداری مشرق زمین</w:t>
      </w:r>
      <w:r>
        <w:rPr>
          <w:rtl/>
        </w:rPr>
        <w:t xml:space="preserve">، صفحات ۱۳۵ و ۱۳۶). این طرز صحبت کردن راجع به یک شخصیت سیاسی بیشتر به تعزیه‌خوانی برای او می‌ماند. یک سیاستمدار، چه در هنگام زندگی و چه در هنگام مرگ، با عقاید و نظرات مخالف و موافق برخورد می‌کند. انتقال جسد جمال‌الدین نوعی حرمت به اوست نه بی‌حرمتی. </w:t>
      </w:r>
    </w:p>
  </w:footnote>
  <w:footnote w:id="137">
    <w:p>
      <w:pPr>
        <w:pStyle w:val="FootnoteText"/>
        <w:bidi/>
      </w:pPr>
      <w:r>
        <w:rPr>
          <w:rStyle w:val="FootnoteReference"/>
        </w:rPr>
        <w:footnoteRef/>
      </w:r>
      <w:r>
        <w:rPr>
          <w:rtl/>
        </w:rPr>
        <w:t xml:space="preserve"> </w:t>
      </w:r>
      <w:r>
        <w:rPr>
          <w:rtl/>
        </w:rPr>
        <w:t xml:space="preserve">متنی که امروز به فارسی از پاسخ جمال‌الدین به رنان در دست داریم ظاهراً متن اصیلی نیست. از یک سو، عده‌ای از هواداران جمال‌الدین نظیر سید هادی خسروشاهی و حمید‌الله حیدر‌‌آبادی معتقدند که هنگام برگرداندن متن عربی پاسخ جمال‌الدین به زبان فرانسه در دفتر ژورنال دِ دِبا Journal des Débats در آن تحریفاتی صورت گرفته است و از سوی دیگر سید هادی خسروشاهی خود تصدیق دارد که هنگام ترجمه متن عربیِ ارسالی، حیدر‌آبادی قسمتی از متن را ترجمه نکرده و مختصراً بیان نموده است. (مراجعه شود به</w:t>
      </w:r>
      <w:r>
        <w:rPr>
          <w:rtl/>
        </w:rPr>
        <w:t xml:space="preserve"> </w:t>
      </w:r>
      <w:r>
        <w:rPr>
          <w:i/>
          <w:iCs/>
          <w:rtl/>
        </w:rPr>
        <w:t xml:space="preserve">دربارهٔ اسلام و علم</w:t>
      </w:r>
      <w:r>
        <w:rPr>
          <w:rtl/>
        </w:rPr>
        <w:t xml:space="preserve">، به قلم سید جمال‌الدین اسد‌آبادی با مقدمه پروفسور حمید‌الله حیدر‌آبادی، ترجمه و توضیحات از سید هادی خسروشاهی به</w:t>
      </w:r>
      <w:r>
        <w:rPr>
          <w:rtl/>
        </w:rPr>
        <w:t xml:space="preserve"> </w:t>
      </w:r>
      <w:r>
        <w:rPr>
          <w:i/>
          <w:iCs/>
          <w:rtl/>
        </w:rPr>
        <w:t xml:space="preserve">ضمیمه رساله قضا و قدر</w:t>
      </w:r>
      <w:r>
        <w:rPr>
          <w:rtl/>
        </w:rPr>
        <w:t xml:space="preserve">).</w:t>
      </w:r>
    </w:p>
    <w:p>
      <w:pPr>
        <w:pStyle w:val="FootnoteText"/>
        <w:bidi/>
      </w:pPr>
      <w:r>
        <w:rPr>
          <w:rtl/>
        </w:rPr>
        <w:t xml:space="preserve">ولی بحثی که در پاسخ ارنست رنان از طرف جمال‌الدین مطرح شده، از یک لحاظ، با آنچه در</w:t>
      </w:r>
      <w:r>
        <w:rPr>
          <w:rtl/>
        </w:rPr>
        <w:t xml:space="preserve"> </w:t>
      </w:r>
      <w:r>
        <w:rPr>
          <w:i/>
          <w:iCs/>
          <w:rtl/>
        </w:rPr>
        <w:t xml:space="preserve">نیچریه</w:t>
      </w:r>
      <w:r>
        <w:rPr>
          <w:rtl/>
        </w:rPr>
        <w:t xml:space="preserve"> </w:t>
      </w:r>
      <w:r>
        <w:rPr>
          <w:rtl/>
        </w:rPr>
        <w:t xml:space="preserve">مطرح است تفاوت دارد: در این رساله جمال‌الدین مذهب را از لحاظ فوائد عملی آن مخصوصاً در پرورش غرور قومی و پیشبرد تمدن مورد بررسی قرار می‌دهد حال آنکه در پاسخ به رنان بحث دربارهٔ ماهیت مذهب و چگونگی پیدایش آن است: از این لحاظ است که گفته‌های جمال‌الدین با مفروضات مذهب مغایرت دارد و لذا، عده‌ای احتمال می‌دهند که این مطالب از آنِ جمال‌الدین نباشد. ولی از لحاظ برخورد جمال‌الدین با فوائد عملی مذهب، تقریبا در همه جا برخورد جمال‌الدین یکنواخت است. بطوریکه بعداً خواهیم دید جمال‌الدین مذهب را به صِرف استفاده عملی آن برای جامعه لازم می‌داند. مخصوصا در این رساله که مهمترین اثر او در این زمینه است ابداً وارد این بحث نمی‌شود که آیا مذاهب واقعا از طرف خدا نازل شده‌اند یا آنکه زائیده فکر بشر هستند؟ و حتّی در مورد برتری دین اسلام نیز جز به دلیل سودمندیِ بیشتر آن برای جامعه به استدلال دیگری متوسل نمی‌شود. </w:t>
      </w:r>
    </w:p>
  </w:footnote>
  <w:footnote w:id="138">
    <w:p>
      <w:pPr>
        <w:pStyle w:val="FootnoteText"/>
        <w:bidi/>
      </w:pPr>
      <w:r>
        <w:rPr>
          <w:rStyle w:val="FootnoteReference"/>
        </w:rPr>
        <w:footnoteRef/>
      </w:r>
      <w:r>
        <w:rPr>
          <w:rtl/>
        </w:rPr>
        <w:t xml:space="preserve"> </w:t>
      </w:r>
      <w:r>
        <w:rPr>
          <w:rtl/>
        </w:rPr>
        <w:t xml:space="preserve">از میان چاپ‌های مختلفی که در ایران از این رساله شده</w:t>
      </w:r>
      <w:r>
        <w:rPr>
          <w:rtl/>
        </w:rPr>
        <w:t xml:space="preserve"> </w:t>
      </w:r>
      <w:r>
        <w:rPr>
          <w:i/>
          <w:iCs/>
          <w:rtl/>
        </w:rPr>
        <w:t xml:space="preserve">نیچریه یا ناتورالیسم</w:t>
      </w:r>
      <w:r>
        <w:rPr>
          <w:rtl/>
        </w:rPr>
        <w:t xml:space="preserve"> </w:t>
      </w:r>
      <w:r>
        <w:rPr>
          <w:rtl/>
        </w:rPr>
        <w:t xml:space="preserve">بقلم سید جمال‌الدین اسدآبادی — چاپ دوم، نشریه دوم، بنگاه دین و دانشِ تبریز، در اینجا، مأخذ کار ماست. </w:t>
      </w:r>
    </w:p>
  </w:footnote>
  <w:footnote w:id="139">
    <w:p>
      <w:pPr>
        <w:pStyle w:val="FootnoteText"/>
        <w:bidi/>
      </w:pPr>
      <w:r>
        <w:rPr>
          <w:rStyle w:val="FootnoteReference"/>
        </w:rPr>
        <w:footnoteRef/>
      </w:r>
      <w:r>
        <w:rPr>
          <w:rtl/>
        </w:rPr>
        <w:t xml:space="preserve"> </w:t>
      </w:r>
      <w:r>
        <w:rPr>
          <w:rtl/>
        </w:rPr>
        <w:t xml:space="preserve">مأخذ فوق‌الذکر[</w:t>
      </w:r>
      <w:r>
        <w:rPr>
          <w:i/>
          <w:iCs/>
          <w:rtl/>
        </w:rPr>
        <w:t xml:space="preserve">نیچریه یا ناتورالیسم</w:t>
      </w:r>
      <w:r>
        <w:rPr>
          <w:rtl/>
        </w:rPr>
        <w:t xml:space="preserve">]، صفحهٔ ۹. </w:t>
      </w:r>
    </w:p>
  </w:footnote>
  <w:footnote w:id="140">
    <w:p>
      <w:pPr>
        <w:pStyle w:val="FootnoteText"/>
        <w:bidi/>
      </w:pPr>
      <w:r>
        <w:rPr>
          <w:rStyle w:val="FootnoteReference"/>
        </w:rPr>
        <w:footnoteRef/>
      </w:r>
      <w:r>
        <w:rPr>
          <w:rtl/>
        </w:rPr>
        <w:t xml:space="preserve"> </w:t>
      </w:r>
      <w:r>
        <w:rPr>
          <w:rtl/>
        </w:rPr>
        <w:t xml:space="preserve">همان‌جا [</w:t>
      </w:r>
      <w:r>
        <w:rPr>
          <w:i/>
          <w:iCs/>
          <w:rtl/>
        </w:rPr>
        <w:t xml:space="preserve">نیچریه یا ناتورالیسم</w:t>
      </w:r>
      <w:r>
        <w:rPr>
          <w:rtl/>
        </w:rPr>
        <w:t xml:space="preserve">]، صفحهٔ ۱۰. </w:t>
      </w:r>
    </w:p>
  </w:footnote>
  <w:footnote w:id="141">
    <w:p>
      <w:pPr>
        <w:pStyle w:val="FootnoteText"/>
        <w:bidi/>
      </w:pPr>
      <w:r>
        <w:rPr>
          <w:rStyle w:val="FootnoteReference"/>
        </w:rPr>
        <w:footnoteRef/>
      </w:r>
      <w:r>
        <w:rPr>
          <w:rtl/>
        </w:rPr>
        <w:t xml:space="preserve"> </w:t>
      </w:r>
      <w:r>
        <w:rPr>
          <w:rtl/>
        </w:rPr>
        <w:t xml:space="preserve">همانجا [</w:t>
      </w:r>
      <w:r>
        <w:rPr>
          <w:i/>
          <w:iCs/>
          <w:rtl/>
        </w:rPr>
        <w:t xml:space="preserve">نیچریه یا ناتورالیسم</w:t>
      </w:r>
      <w:r>
        <w:rPr>
          <w:rtl/>
        </w:rPr>
        <w:t xml:space="preserve">]، صفحهٔ ۱۱. (ناخوانا) ؟؟ </w:t>
      </w:r>
    </w:p>
  </w:footnote>
  <w:footnote w:id="142">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۱۱. </w:t>
      </w:r>
    </w:p>
  </w:footnote>
  <w:footnote w:id="143">
    <w:p>
      <w:pPr>
        <w:pStyle w:val="FootnoteText"/>
        <w:bidi/>
      </w:pPr>
      <w:r>
        <w:rPr>
          <w:rStyle w:val="FootnoteReference"/>
        </w:rPr>
        <w:footnoteRef/>
      </w:r>
      <w:r>
        <w:rPr>
          <w:rtl/>
        </w:rPr>
        <w:t xml:space="preserve"> </w:t>
      </w:r>
      <w:r>
        <w:rPr>
          <w:rtl/>
        </w:rPr>
        <w:t xml:space="preserve">همان جا [</w:t>
      </w:r>
      <w:r>
        <w:rPr>
          <w:i/>
          <w:iCs/>
          <w:rtl/>
        </w:rPr>
        <w:t xml:space="preserve">نیچریه یا ناتورالیسم</w:t>
      </w:r>
      <w:r>
        <w:rPr>
          <w:rtl/>
        </w:rPr>
        <w:t xml:space="preserve">]، همان صفحهٔ [صفحهٔ ۱۱]. </w:t>
      </w:r>
    </w:p>
  </w:footnote>
  <w:footnote w:id="144">
    <w:p>
      <w:pPr>
        <w:pStyle w:val="FootnoteText"/>
        <w:bidi/>
      </w:pPr>
      <w:r>
        <w:rPr>
          <w:rStyle w:val="FootnoteReference"/>
        </w:rPr>
        <w:footnoteRef/>
      </w:r>
      <w:r>
        <w:rPr>
          <w:rtl/>
        </w:rPr>
        <w:t xml:space="preserve"> </w:t>
      </w:r>
      <w:r>
        <w:rPr>
          <w:rtl/>
        </w:rPr>
        <w:t xml:space="preserve">همان جا [</w:t>
      </w:r>
      <w:r>
        <w:rPr>
          <w:i/>
          <w:iCs/>
          <w:rtl/>
        </w:rPr>
        <w:t xml:space="preserve">نیچریه یا ناتورالیسم</w:t>
      </w:r>
      <w:r>
        <w:rPr>
          <w:rtl/>
        </w:rPr>
        <w:t xml:space="preserve">]، همان صفحهٔ [صفحهٔ ۱۱]. </w:t>
      </w:r>
    </w:p>
  </w:footnote>
  <w:footnote w:id="145">
    <w:p>
      <w:pPr>
        <w:pStyle w:val="FootnoteText"/>
        <w:bidi/>
      </w:pPr>
      <w:r>
        <w:rPr>
          <w:rStyle w:val="FootnoteReference"/>
        </w:rPr>
        <w:footnoteRef/>
      </w:r>
      <w:r>
        <w:rPr>
          <w:rtl/>
        </w:rPr>
        <w:t xml:space="preserve"> </w:t>
      </w:r>
      <w:r>
        <w:rPr>
          <w:rtl/>
        </w:rPr>
        <w:t xml:space="preserve">همان جا [</w:t>
      </w:r>
      <w:r>
        <w:rPr>
          <w:i/>
          <w:iCs/>
          <w:rtl/>
        </w:rPr>
        <w:t xml:space="preserve">نیچریه یا ناتورالیسم</w:t>
      </w:r>
      <w:r>
        <w:rPr>
          <w:rtl/>
        </w:rPr>
        <w:t xml:space="preserve">]، همان صفحهٔ [صفحهٔ ۱۱]. </w:t>
      </w:r>
    </w:p>
  </w:footnote>
  <w:footnote w:id="146">
    <w:p>
      <w:pPr>
        <w:pStyle w:val="FootnoteText"/>
        <w:bidi/>
      </w:pPr>
      <w:r>
        <w:rPr>
          <w:rStyle w:val="FootnoteReference"/>
        </w:rPr>
        <w:footnoteRef/>
      </w:r>
      <w:r>
        <w:rPr>
          <w:rtl/>
        </w:rPr>
        <w:t xml:space="preserve"> </w:t>
      </w:r>
      <w:r>
        <w:rPr>
          <w:rtl/>
        </w:rPr>
        <w:t xml:space="preserve">در مورد نحوه تلقی جمال‌الدین از اپیکور بعد بیشتر توضیح خواهیم داد. </w:t>
      </w:r>
    </w:p>
  </w:footnote>
  <w:footnote w:id="147">
    <w:p>
      <w:pPr>
        <w:pStyle w:val="FootnoteText"/>
        <w:bidi/>
      </w:pPr>
      <w:r>
        <w:rPr>
          <w:rStyle w:val="FootnoteReference"/>
        </w:rPr>
        <w:footnoteRef/>
      </w:r>
      <w:r>
        <w:rPr>
          <w:rtl/>
        </w:rPr>
        <w:t xml:space="preserve"> </w:t>
      </w:r>
      <w:r>
        <w:rPr>
          <w:rtl/>
        </w:rPr>
        <w:t xml:space="preserve">در مورد برخورد جمال‌الدین با عقاید داروین بعداً بیشتر توضیح خواهیم داد. </w:t>
      </w:r>
    </w:p>
  </w:footnote>
  <w:footnote w:id="148">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۱۵. </w:t>
      </w:r>
    </w:p>
  </w:footnote>
  <w:footnote w:id="149">
    <w:p>
      <w:pPr>
        <w:pStyle w:val="FootnoteText"/>
        <w:bidi/>
      </w:pPr>
      <w:r>
        <w:rPr>
          <w:rStyle w:val="FootnoteReference"/>
        </w:rPr>
        <w:footnoteRef/>
      </w:r>
      <w:r>
        <w:rPr>
          <w:rtl/>
        </w:rPr>
        <w:t xml:space="preserve"> </w:t>
      </w:r>
      <w:r>
        <w:rPr>
          <w:rtl/>
        </w:rPr>
        <w:t xml:space="preserve">همانطور که در قسمت اول این پایان نامه (پاورقی ۶۰) توضیح دادیم بعداً جمال‌الدین از این نظر خود عدول کرده رساله را اساساً پاسخی به سِر سید احمد خان و حداکثر دهریون هند دانسته است. </w:t>
      </w:r>
    </w:p>
  </w:footnote>
  <w:footnote w:id="150">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۱۸. </w:t>
      </w:r>
    </w:p>
  </w:footnote>
  <w:footnote w:id="151">
    <w:p>
      <w:pPr>
        <w:pStyle w:val="FootnoteText"/>
        <w:bidi/>
      </w:pPr>
      <w:r>
        <w:rPr>
          <w:rStyle w:val="FootnoteReference"/>
        </w:rPr>
        <w:footnoteRef/>
      </w:r>
      <w:r>
        <w:rPr>
          <w:rtl/>
        </w:rPr>
        <w:t xml:space="preserve"> </w:t>
      </w:r>
      <w:r>
        <w:rPr>
          <w:rtl/>
        </w:rPr>
        <w:t xml:space="preserve">همان‌جا [</w:t>
      </w:r>
      <w:r>
        <w:rPr>
          <w:i/>
          <w:iCs/>
          <w:rtl/>
        </w:rPr>
        <w:t xml:space="preserve">نیچریه یا ناتورالیسم</w:t>
      </w:r>
      <w:r>
        <w:rPr>
          <w:rtl/>
        </w:rPr>
        <w:t xml:space="preserve">]، صفحهٔ ۱۹. </w:t>
      </w:r>
    </w:p>
  </w:footnote>
  <w:footnote w:id="152">
    <w:p>
      <w:pPr>
        <w:pStyle w:val="FootnoteText"/>
        <w:bidi/>
      </w:pPr>
      <w:r>
        <w:rPr>
          <w:rStyle w:val="FootnoteReference"/>
        </w:rPr>
        <w:footnoteRef/>
      </w:r>
      <w:r>
        <w:rPr>
          <w:rtl/>
        </w:rPr>
        <w:t xml:space="preserve"> </w:t>
      </w:r>
      <w:r>
        <w:rPr>
          <w:rtl/>
        </w:rPr>
        <w:t xml:space="preserve">همان‌جا [</w:t>
      </w:r>
      <w:r>
        <w:rPr>
          <w:i/>
          <w:iCs/>
          <w:rtl/>
        </w:rPr>
        <w:t xml:space="preserve">نیچریه یا ناتورالیسم</w:t>
      </w:r>
      <w:r>
        <w:rPr>
          <w:rtl/>
        </w:rPr>
        <w:t xml:space="preserve">]، صفحهٔ ۱۹ و ۲۰. </w:t>
      </w:r>
    </w:p>
  </w:footnote>
  <w:footnote w:id="153">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۲۰. </w:t>
      </w:r>
    </w:p>
  </w:footnote>
  <w:footnote w:id="154">
    <w:p>
      <w:pPr>
        <w:pStyle w:val="FootnoteText"/>
        <w:bidi/>
      </w:pPr>
      <w:r>
        <w:rPr>
          <w:rStyle w:val="FootnoteReference"/>
        </w:rPr>
        <w:footnoteRef/>
      </w:r>
      <w:r>
        <w:rPr>
          <w:rtl/>
        </w:rPr>
        <w:t xml:space="preserve"> </w:t>
      </w:r>
      <w:r>
        <w:rPr>
          <w:rtl/>
        </w:rPr>
        <w:t xml:space="preserve">همان‌جا [</w:t>
      </w:r>
      <w:r>
        <w:rPr>
          <w:i/>
          <w:iCs/>
          <w:rtl/>
        </w:rPr>
        <w:t xml:space="preserve">نیچریه یا ناتورالیسم</w:t>
      </w:r>
      <w:r>
        <w:rPr>
          <w:rtl/>
        </w:rPr>
        <w:t xml:space="preserve">]، صفحهٔ ۲۱. </w:t>
      </w:r>
    </w:p>
  </w:footnote>
  <w:footnote w:id="155">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۲۲. </w:t>
      </w:r>
    </w:p>
  </w:footnote>
  <w:footnote w:id="156">
    <w:p>
      <w:pPr>
        <w:pStyle w:val="FootnoteText"/>
        <w:bidi/>
      </w:pPr>
      <w:r>
        <w:rPr>
          <w:rStyle w:val="FootnoteReference"/>
        </w:rPr>
        <w:footnoteRef/>
      </w:r>
      <w:r>
        <w:rPr>
          <w:rtl/>
        </w:rPr>
        <w:t xml:space="preserve"> </w:t>
      </w:r>
      <w:r>
        <w:rPr>
          <w:rtl/>
        </w:rPr>
        <w:t xml:space="preserve">در مورد این سه عقیده باید گفت عقیده اول و عقیده سوم همان چیزی است که معمولاً از طرف روحانیون مذاهب مختلف و به انواع گوناگون بیان می‌شود. ولی اصل دوم به طریقی که از طرف جمال‌الدین در اینجا اقامه شده است مخصوص زمانهائی است که روحانیون می‌کوشند تا پیروان خویش را به جنگی علیه اقوام و ملل دیگر بر‌انگیزند و در غیر این شرائط معمولاً تأکید روحانیون بر این عقیده دوم ناچیز است — جمال‌الدین نیز دعوت به مبارزه و جدال می‌کند. </w:t>
      </w:r>
    </w:p>
  </w:footnote>
  <w:footnote w:id="157">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۲۳. </w:t>
      </w:r>
    </w:p>
  </w:footnote>
  <w:footnote w:id="158">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۲۴. </w:t>
      </w:r>
    </w:p>
  </w:footnote>
  <w:footnote w:id="159">
    <w:p>
      <w:pPr>
        <w:pStyle w:val="FootnoteText"/>
        <w:bidi/>
      </w:pPr>
      <w:r>
        <w:rPr>
          <w:rStyle w:val="FootnoteReference"/>
        </w:rPr>
        <w:footnoteRef/>
      </w:r>
      <w:r>
        <w:rPr>
          <w:rtl/>
        </w:rPr>
        <w:t xml:space="preserve"> </w:t>
      </w:r>
      <w:r>
        <w:rPr>
          <w:rtl/>
        </w:rPr>
        <w:t xml:space="preserve">همان‌جا [</w:t>
      </w:r>
      <w:r>
        <w:rPr>
          <w:i/>
          <w:iCs/>
          <w:rtl/>
        </w:rPr>
        <w:t xml:space="preserve">نیچریه یا ناتورالیسم</w:t>
      </w:r>
      <w:r>
        <w:rPr>
          <w:rtl/>
        </w:rPr>
        <w:t xml:space="preserve">]، صفحهٔ ۲۵. </w:t>
      </w:r>
    </w:p>
  </w:footnote>
  <w:footnote w:id="160">
    <w:p>
      <w:pPr>
        <w:pStyle w:val="FootnoteText"/>
        <w:bidi/>
      </w:pPr>
      <w:r>
        <w:rPr>
          <w:rStyle w:val="FootnoteReference"/>
        </w:rPr>
        <w:footnoteRef/>
      </w:r>
      <w:r>
        <w:rPr>
          <w:rtl/>
        </w:rPr>
        <w:t xml:space="preserve"> </w:t>
      </w:r>
      <w:r>
        <w:rPr>
          <w:rtl/>
        </w:rPr>
        <w:t xml:space="preserve">همان‌جا [</w:t>
      </w:r>
      <w:r>
        <w:rPr>
          <w:i/>
          <w:iCs/>
          <w:rtl/>
        </w:rPr>
        <w:t xml:space="preserve">نیچریه یا ناتورالیسم</w:t>
      </w:r>
      <w:r>
        <w:rPr>
          <w:rtl/>
        </w:rPr>
        <w:t xml:space="preserve">]، صفحهٔ ۲۶. </w:t>
      </w:r>
    </w:p>
  </w:footnote>
  <w:footnote w:id="161">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۲۷. </w:t>
      </w:r>
    </w:p>
  </w:footnote>
  <w:footnote w:id="162">
    <w:p>
      <w:pPr>
        <w:pStyle w:val="FootnoteText"/>
        <w:bidi/>
      </w:pPr>
      <w:r>
        <w:rPr>
          <w:rStyle w:val="FootnoteReference"/>
        </w:rPr>
        <w:footnoteRef/>
      </w:r>
      <w:r>
        <w:rPr>
          <w:rtl/>
        </w:rPr>
        <w:t xml:space="preserve"> </w:t>
      </w:r>
      <w:r>
        <w:rPr>
          <w:rtl/>
        </w:rPr>
        <w:t xml:space="preserve">همان‌جا [</w:t>
      </w:r>
      <w:r>
        <w:rPr>
          <w:i/>
          <w:iCs/>
          <w:rtl/>
        </w:rPr>
        <w:t xml:space="preserve">نیچریه یا ناتورالیسم</w:t>
      </w:r>
      <w:r>
        <w:rPr>
          <w:rtl/>
        </w:rPr>
        <w:t xml:space="preserve">]، صفحهٔ ۲۸. </w:t>
      </w:r>
    </w:p>
  </w:footnote>
  <w:footnote w:id="163">
    <w:p>
      <w:pPr>
        <w:pStyle w:val="FootnoteText"/>
        <w:bidi/>
      </w:pPr>
      <w:r>
        <w:rPr>
          <w:rStyle w:val="FootnoteReference"/>
        </w:rPr>
        <w:footnoteRef/>
      </w:r>
      <w:r>
        <w:rPr>
          <w:rtl/>
        </w:rPr>
        <w:t xml:space="preserve"> </w:t>
      </w:r>
      <w:r>
        <w:rPr>
          <w:rtl/>
        </w:rPr>
        <w:t xml:space="preserve">نکته‌ای که در اینجا شایان ذکر است این است که جمال‌الدین پیدایش مکتب کلبی را به اپیکور نسبت می‌دهد. حال آنکه خود، در آغاز کتاب، اپیکور را شاگرد دیوژن کلبی دانسته است. سپس دربارهٔ فلسفهٔ اپیکور توضیحاتی می‌دهد که پیداست اطلاعات وی دربارهٔ آن محدود به افسانه‌های بی‌اساسی است که در اروپای آن زمان در مورد اپیکور شایع شده بود.</w:t>
      </w:r>
    </w:p>
    <w:p>
      <w:pPr>
        <w:pStyle w:val="FootnoteText"/>
        <w:bidi/>
      </w:pPr>
      <w:r>
        <w:rPr>
          <w:rtl/>
        </w:rPr>
        <w:t xml:space="preserve">مطلب دیگری که در اینجا می‌تواند دلیل ادعای ما باشد دائر بر اینکه اطلاع جمال‌الدین از تاریخ فلسفه بسیار سطحی و ابتدائی است آن است که در مورد اطلاق نام کلبی به کلبیون باز بهمان افسانه‌های بی‌اساس شایع بین مردم بسنده کرده است.</w:t>
      </w:r>
    </w:p>
    <w:p>
      <w:pPr>
        <w:pStyle w:val="FootnoteText"/>
        <w:bidi/>
      </w:pPr>
      <w:r>
        <w:rPr>
          <w:rtl/>
        </w:rPr>
        <w:t xml:space="preserve">ما به تجزیه و تحلیل صحت این عقیده جمال‌الدین نمی‌پردازیم. امروزه علل انقراض تمدن یونان واضح‌تر از آن است که توضیح آن در این پایان نامه لازم باشد. شاید کسی به دفاع از این نظریه بر‌نخیزد که علت انقراض یونان ظهور اپیکوریان است تا ما بخواهیم در پاسخ وی به استدلال بپردازیم.</w:t>
      </w:r>
    </w:p>
    <w:p>
      <w:pPr>
        <w:pStyle w:val="FootnoteText"/>
        <w:bidi/>
      </w:pPr>
      <w:r>
        <w:rPr>
          <w:rtl/>
        </w:rPr>
        <w:t xml:space="preserve">همچنین این امر در تاریخ فلسفه، امروزه کاملاً آشکار شده است که علت بهتانهائی که به اپیکور و فلسفهٔ او می‌بندند نه بخاطر عیاشی و خوشگذرانی اپیکوریان و شخص اپیکور بوده، بلکه علت اصلی آن مغایرت فلسفهٔ اپیکور با اساس فلسفهٔ افلاطون و ارسطو می‌باشد که مسیحیت تا حدود زیادی بر آنها استوار است. </w:t>
      </w:r>
    </w:p>
  </w:footnote>
  <w:footnote w:id="164">
    <w:p>
      <w:pPr>
        <w:pStyle w:val="FootnoteText"/>
        <w:bidi/>
      </w:pPr>
      <w:r>
        <w:rPr>
          <w:rStyle w:val="FootnoteReference"/>
        </w:rPr>
        <w:footnoteRef/>
      </w:r>
      <w:r>
        <w:rPr>
          <w:rtl/>
        </w:rPr>
        <w:t xml:space="preserve"> </w:t>
      </w:r>
      <w:r>
        <w:rPr>
          <w:rtl/>
        </w:rPr>
        <w:t xml:space="preserve">حال آنکه ماتریالیست دانستن مزدک با تعریفی که در اول کتاب از ماتریالیسم شده است اختلاف بنیانی دارد.</w:t>
      </w:r>
    </w:p>
    <w:p>
      <w:pPr>
        <w:pStyle w:val="FootnoteText"/>
        <w:bidi/>
      </w:pPr>
      <w:r>
        <w:rPr>
          <w:rtl/>
        </w:rPr>
        <w:t xml:space="preserve">نکتهٔ دیگر اینکه جمال‌الدین دانسته یا ندانسته همان تهمت‌هائی را که مؤبدان زردشتی و بعداً حکام و سلاطین ساسانی در تبلیغات خود بر‌علیه مزدکیان به عامه القاء می‌کردند و می‌گفتند که مزدک می‌خواهد زنها را اشتراکی کند، تکرار می‌نماید.</w:t>
      </w:r>
    </w:p>
    <w:p>
      <w:pPr>
        <w:pStyle w:val="FootnoteText"/>
        <w:bidi/>
      </w:pPr>
      <w:r>
        <w:rPr>
          <w:rtl/>
        </w:rPr>
        <w:t xml:space="preserve">البتّه امروز این مطالب حتّی در پیش پا‌افتاده‌ترین تاریخ‌ها نیز مورد انکار قرار گرفته. آنچه در اینجا مورد نظر من است نشان دادن برداشت سطحی جمال‌الدین از رویدادهای تاریخی است. او بجای اینکه نهضت مزدک را حاصل تشدید تناقضات امپراتوری ساسانیان و فشار مخارج سنگین حفظ امپراتوری بر دوش طبقات مولد جامعه بداند و سپس به نقش این نهضت در تسریع جریان تلاشی امپراتوری بپردازد، بطور کلی، دربارهٔ علل پیدایش نهضت مزدک در ایران (و یا اپیکور در یونان) سکوت کرده و صرفاً به نقش این نهضت در اضمحلال امپراتوری توجه دارد — آن هم به شیوه‌ای که ملاحظه می‌شود، یعنی بر‌اساس روایات و افسانه‌هائی که دشمنان نهضت مزدک، یعنی هیئت‌های حاکمه و روحانیون رسمی ساسانی در مورد او اشاعه می‌دهند.</w:t>
      </w:r>
    </w:p>
    <w:p>
      <w:pPr>
        <w:pStyle w:val="FootnoteText"/>
        <w:bidi/>
      </w:pPr>
      <w:r>
        <w:rPr>
          <w:rtl/>
        </w:rPr>
        <w:t xml:space="preserve">نتیجه‌ای که می‌توان از این مطلب گرفت این است که جمال‌الدین خود را در جبهه همین هیئت حاکمه قرار می‌دهد و از دیدگاه منافع وی به نهضت مزدک و امثال آن می‌نگرد.</w:t>
      </w:r>
    </w:p>
    <w:p>
      <w:pPr>
        <w:pStyle w:val="FootnoteText"/>
        <w:bidi/>
      </w:pPr>
      <w:r>
        <w:rPr>
          <w:rtl/>
        </w:rPr>
        <w:t xml:space="preserve">البتّه این را هم باید اضافه کرد که جمال‌الدین بهیچوجه حاضر نیست خود را در ردیف هیئت حاکمه زبون و تو‌سری خورده قرار دهد، بلکه حکومتی که او حاضر است به مدافعه از آن بر‌خیزد حکومتی است نیرومند و مقتدر به آن صورت که ساسانیان در نظر او بودند. مخالفت جمال‌الدین با نهضت مزدک، پیش از آنکه آنطور که خود می‌خواهد وانمود کند، مخالفت با اصول عقاید آنها باشد، مخالفتی است علیه کسانی که با یک حکومت مقتدر و نیرومند به مخالفت برخاسته‌اند. </w:t>
      </w:r>
    </w:p>
  </w:footnote>
  <w:footnote w:id="165">
    <w:p>
      <w:pPr>
        <w:pStyle w:val="FootnoteText"/>
        <w:bidi/>
      </w:pPr>
      <w:r>
        <w:rPr>
          <w:rStyle w:val="FootnoteReference"/>
        </w:rPr>
        <w:footnoteRef/>
      </w:r>
      <w:r>
        <w:rPr>
          <w:rtl/>
        </w:rPr>
        <w:t xml:space="preserve"> </w:t>
      </w:r>
      <w:r>
        <w:rPr>
          <w:rtl/>
        </w:rPr>
        <w:t xml:space="preserve">بررسی عقاید باطنیه و اسماعیلیه یک بار دیگر تناقض عقاید آنها را با تعریفی که در آغاز کتاب از ماتریالیسم کرده آشکار می‌سازد. در واقع، اینجا دیگر معیار ماتریالیست بودن، مقدم دانستن ماده بر ایده نیست، بلکه مخالفت با حکومت نیرومند مورد اعتماد جمال‌الدین دلیل مادّی بودن است. کاری که در اینجا جمال‌الدین می‌کند تکرار سادهٔ همان روشی است که در طی قرون صورت می‌گرفته است: یعنی وقتی مردم را متعصب در عقاید مذهبی خویش می‌دیدند برای بر انگیختن مردم بر‌علیه دشمنان خویش آنها را به انکار خدا و لامذهبی متهم می‌کردند. تعلیمات باطنیه امروز بر ما آشکار است و بهترین تجلیات آنرا در اشعار ناصر‌خسرو قبادیانی می‌توان مشاهده کرد. در اینها هیچ اثری از انکار خدا و حتّی انکار اسلام نیست. اختلاف باطنیه را با فرق دیگر مذهب اسلام بیشتر باید زائیده شیوه عبادت و تلقی آنها از این عبادت دانست. </w:t>
      </w:r>
    </w:p>
  </w:footnote>
  <w:footnote w:id="166">
    <w:p>
      <w:pPr>
        <w:pStyle w:val="FootnoteText"/>
        <w:bidi/>
      </w:pPr>
      <w:r>
        <w:rPr>
          <w:rStyle w:val="FootnoteReference"/>
        </w:rPr>
        <w:footnoteRef/>
      </w:r>
      <w:r>
        <w:rPr>
          <w:rtl/>
        </w:rPr>
        <w:t xml:space="preserve"> </w:t>
      </w:r>
      <w:r>
        <w:rPr>
          <w:rtl/>
        </w:rPr>
        <w:t xml:space="preserve">عقاید ولتر و روسو را به نحوی بسیار سطحی تشریح می‌کند. </w:t>
      </w:r>
    </w:p>
  </w:footnote>
  <w:footnote w:id="167">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۴۰. </w:t>
      </w:r>
    </w:p>
  </w:footnote>
  <w:footnote w:id="168">
    <w:p>
      <w:pPr>
        <w:pStyle w:val="FootnoteText"/>
        <w:bidi/>
      </w:pPr>
      <w:r>
        <w:rPr>
          <w:rStyle w:val="FootnoteReference"/>
        </w:rPr>
        <w:footnoteRef/>
      </w:r>
      <w:r>
        <w:rPr>
          <w:rtl/>
        </w:rPr>
        <w:t xml:space="preserve"> </w:t>
      </w:r>
      <w:r>
        <w:rPr>
          <w:rtl/>
        </w:rPr>
        <w:t xml:space="preserve">نکتهٔ دیگری که باید در اینجا تذکر دهم این است که جمال‌الدین یک عده صفات معین را در مورد بیان جهان‌بینی کلیهٔ فرق مختلفی که در بالا ذکر کرد بکار می‌برد و تقریباً هیچگونه اشاره‌ای به خصوصیات تعلیمات هر دسته نمی‌کند و در مورد علت پیدایش هیچیک از آنها نیز سخنی نمی‌گوید. </w:t>
      </w:r>
    </w:p>
  </w:footnote>
  <w:footnote w:id="169">
    <w:p>
      <w:pPr>
        <w:pStyle w:val="FootnoteText"/>
        <w:bidi/>
      </w:pPr>
      <w:r>
        <w:rPr>
          <w:rStyle w:val="FootnoteReference"/>
        </w:rPr>
        <w:footnoteRef/>
      </w:r>
      <w:r>
        <w:rPr>
          <w:rtl/>
        </w:rPr>
        <w:t xml:space="preserve"> </w:t>
      </w:r>
      <w:r>
        <w:rPr>
          <w:rtl/>
        </w:rPr>
        <w:t xml:space="preserve">زیرا می‌گوید انگلیسی بوده و به آمریکا رفته است. </w:t>
      </w:r>
    </w:p>
  </w:footnote>
  <w:footnote w:id="170">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۴۱.</w:t>
      </w:r>
    </w:p>
    <w:p>
      <w:pPr>
        <w:pStyle w:val="FootnoteText"/>
        <w:bidi/>
      </w:pPr>
      <w:r>
        <w:rPr>
          <w:rtl/>
        </w:rPr>
        <w:t xml:space="preserve">نه تنها رابرت آون در تجربیات خود در مورد ایجاد کلنی‌های ایده‌آل چنین کاری نکرد (رجوع شود به کتاب</w:t>
      </w:r>
      <w:r>
        <w:rPr>
          <w:rtl/>
        </w:rPr>
        <w:t xml:space="preserve"> </w:t>
      </w:r>
      <w:r>
        <w:rPr>
          <w:i/>
          <w:iCs/>
          <w:rtl/>
        </w:rPr>
        <w:t xml:space="preserve">تاریخ عقاید اقتصادی</w:t>
      </w:r>
      <w:r>
        <w:rPr>
          <w:rtl/>
        </w:rPr>
        <w:t xml:space="preserve">، تألیف شارل ژید و شارل ریست، ترجمه دکتر کریم سنجابی، جلد اول، صفحات ۳۷۱ تا ۳۸۶)، بلکه اساسا تجربه‌ای به این صورت که جمال‌الدین تعریف می‌کند در تاریخ بشر ثبت نشده است. جمال‌الدین در اینجا صرفاً بر روی جهل خوانندگان خود حساب می‌کند و بجای آنکه با استدلال به جنگ به تصور خودش ماتریالیستها برود با نسبتهای نا‌روا به اصطلاح لجن‌مالشان می‌کند تا نفرت مردم را نسبت به آنها بر‌نگیزد. آون همواره یک ایده‌آلیست جدی باقی ماند. خدا‌پرستی او مورد تأیید کلیهٔ نویسندگان تاریخ اقتصاد است — در واقع، آنچه جمال‌الدین به «ردّ» آن برخاسته نیچریه، دهریه و یا ماتریالیسم (نامهای مختلفی که جمال‌الدین مترادف بکار می‌برد) نیست، بلکه تصویر مضحکی از این فلسفه است که ساخته و پرداخته ذهن خود اوست و حتّی این تصویر مضحک را نیز ردّ نمی‌کند بلکه آنرا به باد استهزاء و احیاناً دشنام می‌گیرد. </w:t>
      </w:r>
    </w:p>
  </w:footnote>
  <w:footnote w:id="171">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۴۶. </w:t>
      </w:r>
    </w:p>
  </w:footnote>
  <w:footnote w:id="172">
    <w:p>
      <w:pPr>
        <w:pStyle w:val="FootnoteText"/>
        <w:bidi/>
      </w:pPr>
      <w:r>
        <w:rPr>
          <w:rStyle w:val="FootnoteReference"/>
        </w:rPr>
        <w:footnoteRef/>
      </w:r>
      <w:r>
        <w:rPr>
          <w:rtl/>
        </w:rPr>
        <w:t xml:space="preserve"> </w:t>
      </w:r>
      <w:r>
        <w:rPr>
          <w:rtl/>
        </w:rPr>
        <w:t xml:space="preserve">هما‌ن‌جا، صفحهٔ ۴۸. </w:t>
      </w:r>
    </w:p>
  </w:footnote>
  <w:footnote w:id="173">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۵۲. </w:t>
      </w:r>
    </w:p>
  </w:footnote>
  <w:footnote w:id="175">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صفحات ۱۱ و ۱۲. </w:t>
      </w:r>
    </w:p>
  </w:footnote>
  <w:footnote w:id="176">
    <w:p>
      <w:pPr>
        <w:pStyle w:val="FootnoteText"/>
        <w:bidi/>
      </w:pPr>
      <w:r>
        <w:rPr>
          <w:rStyle w:val="FootnoteReference"/>
        </w:rPr>
        <w:footnoteRef/>
      </w:r>
      <w:r>
        <w:rPr>
          <w:rtl/>
        </w:rPr>
        <w:t xml:space="preserve"> </w:t>
      </w:r>
      <w:r>
        <w:rPr>
          <w:rtl/>
        </w:rPr>
        <w:t xml:space="preserve">این نقص را تا حدودی نیز می‌توان قابل اغماض دانست. جمال‌الدین در بکار بردن کلمات و الفاظ در هیچ‌جای این کتاب دقت لازم یک فیلسوف را که می‌کوشد هر مفهومی را ابتدا بسنجد و سپس بکار برد از خود نشان نمی‌دهد. لذا، زیاد هم نمی‌توان از او توقع داشت که در اینجا از خود دقت لازم نشان دهد. بعید است که فکر کنیم جمال‌الدین عقیده داشته است که مادیون به اموری نظیر تفکر و تخیل معتقد نیستند چرا که با یکی از حواس ادراک نمی‌شوند. </w:t>
      </w:r>
    </w:p>
  </w:footnote>
  <w:footnote w:id="177">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۱۳.</w:t>
      </w:r>
    </w:p>
    <w:p>
      <w:pPr>
        <w:pStyle w:val="FootnoteText"/>
        <w:bidi/>
      </w:pPr>
      <w:r>
        <w:rPr>
          <w:rtl/>
        </w:rPr>
        <w:t xml:space="preserve">من فعلاً کاری به این ندارم که اپیکور را یکی از اتباع دیوژن کلبی دانستن تا چه حدّ با واقعیت مغایر است. </w:t>
      </w:r>
    </w:p>
  </w:footnote>
  <w:footnote w:id="178">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۳۱ و ۳۲. </w:t>
      </w:r>
    </w:p>
  </w:footnote>
  <w:footnote w:id="179">
    <w:p>
      <w:pPr>
        <w:pStyle w:val="FootnoteText"/>
        <w:bidi/>
      </w:pPr>
      <w:r>
        <w:rPr>
          <w:rStyle w:val="FootnoteReference"/>
        </w:rPr>
        <w:footnoteRef/>
      </w:r>
      <w:r>
        <w:rPr>
          <w:rtl/>
        </w:rPr>
        <w:t xml:space="preserve"> </w:t>
      </w:r>
      <w:r>
        <w:rPr>
          <w:rtl/>
        </w:rPr>
        <w:t xml:space="preserve">در اینجا جمال‌الدین تلقی عامیانه‌ای را که از فلسفهٔ کلبی و همچنین فلسفهٔ اپیکور در اذهان عوام اروپا جایگزین کرده بودند را بهم آمیخته آنها را با واقعیت این مکاتب فلسفی اشتباه می‌کند. بهمین جهت است که پیش‌تر گفتیم درک او از فلسفه منحصر به مطالعاتی سطحی و پراکنده است.</w:t>
      </w:r>
    </w:p>
    <w:p>
      <w:pPr>
        <w:pStyle w:val="FootnoteText"/>
        <w:bidi/>
      </w:pPr>
      <w:r>
        <w:rPr>
          <w:rtl/>
        </w:rPr>
        <w:t xml:space="preserve">البتّه فلسفهٔ کلبی، نه با دیوژن بلکه با آنتیس‌تنس شروع می‌شود ولی دیوژن معروف‌ترین حکیم این مکتب فلسفی است. اطلاعات ما دربارهٔ زندگی او بسیار محدود است و زندگی او را هاله‌ای از افسانه در‌بر گرفته است. آنچه می‌توان از افسانه‌ها و حقایقی که از زندگی او بر‌جای مانده استنباط کرد این است که: «حکمت دیوگنس با آنچه امروز در زبانهای اروپائی “cynical” (یعنی پرده‌درانه و بی‌شرمانه) نامیده می‌شود بهیچوجه یکی نیست، بلکه خلاف آن است. دیوگنس عشقی پر‌شور به فضیلت داشت، که جیفهٔ دنیوی را در قیاس با آن به هیچ می‌گرفت. می‌گفت: به لذتهائی که از مال بر‌می‌خیزد دل مبند، تا از قید ترس برهی.» (</w:t>
      </w:r>
      <w:r>
        <w:rPr>
          <w:i/>
          <w:iCs/>
          <w:rtl/>
        </w:rPr>
        <w:t xml:space="preserve">تاریخ فلسفهٔ غرب</w:t>
      </w:r>
      <w:r>
        <w:rPr>
          <w:rtl/>
        </w:rPr>
        <w:t xml:space="preserve">، نوشته برتراند راسل، صفحهٔ ۴۳۶)</w:t>
      </w:r>
    </w:p>
    <w:p>
      <w:pPr>
        <w:pStyle w:val="FootnoteText"/>
        <w:bidi/>
      </w:pPr>
      <w:r>
        <w:rPr>
          <w:rtl/>
        </w:rPr>
        <w:t xml:space="preserve">اگر افسانهٔ ملاقات اسکندر و دیوژن را باور کنیم که بر‌حسب آن دیوژن در پاسخ اسکندرکه از او می‌خواهد چه می‌خواهد تا برای او انجام دهد می‌گوید: خواهش او آن است که به کناری رفته بگذارد آفتاب بر او بتابد، می‌توانیم به درجه وارستگی و بی‌نیازی او به عنوان یک فیلسوف کلبی و نیز به میزان مغایرت این حقایق با گفته‌های جمال‌الدین پی ببریم. اینجا دیگر به عامیانه بودن وجه تسمیهٔ کلبیون از نظر جمال‌الدین کاری نداریم.</w:t>
      </w:r>
    </w:p>
    <w:p>
      <w:pPr>
        <w:pStyle w:val="FootnoteText"/>
        <w:bidi/>
      </w:pPr>
      <w:r>
        <w:rPr>
          <w:rtl/>
        </w:rPr>
        <w:t xml:space="preserve">و امّا اپیکور که او نیز در اینجا در زمرهٔ کلبیون قلمداد شده و همان صفات نکوهیده منتسب به کلبیون به وی نیز نسبت داده شده از لحاظ اخلاقی چگونه فیلسوفی است؟ لذتی که اپیکور در آثار خود از آن یاد می‌کند و خوشی‌ای که منظور اخلاق اوست با عیاشی و خوشگذرانی بدان صورتی که جمال‌الدین تصور می‌کرده تفاوت بسیار دارد. اپیکور می‌گوید: «در حالی‌که به نان و آب روز می‌گذارم تنم از خوشی سرشار است: و بر خوشی‌های تجمل‌آمیز آب‌دهان می‌اندازم، نه بخاطر خود آن خوشی‌ها، بلکه بخاطر سختی‌هائی که در‌پی دارند.» (نقل از</w:t>
      </w:r>
      <w:r>
        <w:rPr>
          <w:rtl/>
        </w:rPr>
        <w:t xml:space="preserve"> </w:t>
      </w:r>
      <w:r>
        <w:rPr>
          <w:i/>
          <w:iCs/>
          <w:rtl/>
        </w:rPr>
        <w:t xml:space="preserve">تاریخ فلسفهٔ غرب</w:t>
      </w:r>
      <w:r>
        <w:rPr>
          <w:rtl/>
        </w:rPr>
        <w:t xml:space="preserve">، صفحهٔ ۴۵۳) </w:t>
      </w:r>
    </w:p>
  </w:footnote>
  <w:footnote w:id="180">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۱۴.</w:t>
      </w:r>
    </w:p>
    <w:p>
      <w:pPr>
        <w:pStyle w:val="FootnoteText"/>
        <w:bidi/>
      </w:pPr>
      <w:r>
        <w:rPr>
          <w:rtl/>
        </w:rPr>
        <w:t xml:space="preserve">وقتی داروین می‌گوید: «محیط طبیعی»، کسانی که با دقت آثار او را مطالعه کرده‌اند از این کلمه معنائی بسیار وسیع و پر جوش و خروشی را در نظر می‌آورند. یکسان دانستن محیط بدین‌نحو یعنی به دلیل وحدت مکانی آن هم بدین‌معنای وسیع — در هند قرار گرفتن — و وحدت آب و هوا با معنائی که داروین از محیط دارد بسیار متفاوت است. از نظر داروین مثلاً محیط نیلوفری که زنبور عسلی بر آن نشسته با محیط نیلوفری که در کنار آن قرار دارد تفاوت اساسی پیدا می‌کند.</w:t>
      </w:r>
    </w:p>
    <w:p>
      <w:pPr>
        <w:pStyle w:val="FootnoteText"/>
        <w:bidi/>
      </w:pPr>
      <w:r>
        <w:rPr>
          <w:rtl/>
        </w:rPr>
        <w:t xml:space="preserve">از سوی دیگر پهنهٔ طبیعت برخلاف باغچه‌ای که مندل در صحن کلیسا برای آزمایشات خود انتخاب کرده بود، صحنهٔ پر جوش و خروش و میدان مبارزه و منازعه است و در نتیجه مملو است از کنشها و واکنشها. لذا، نمی‌توان قطعه‌ای از طبیعت را از قطعات دیگر جدا کرد و از آثار آنها برکنار داشت. اگر همین مثال آب و هوا را بگیریم می‌بینیم که بادهای سرد قطبی در تعیین میزان حرارت گرم‌ترین نقطه زمین دست دارد و بالعکس. </w:t>
      </w:r>
    </w:p>
  </w:footnote>
  <w:footnote w:id="181">
    <w:p>
      <w:pPr>
        <w:pStyle w:val="FootnoteText"/>
        <w:bidi/>
      </w:pPr>
      <w:r>
        <w:rPr>
          <w:rStyle w:val="FootnoteReference"/>
        </w:rPr>
        <w:footnoteRef/>
      </w:r>
      <w:r>
        <w:rPr>
          <w:rtl/>
        </w:rPr>
        <w:t xml:space="preserve"> </w:t>
      </w:r>
      <w:r>
        <w:rPr>
          <w:i/>
          <w:iCs/>
          <w:rtl/>
        </w:rPr>
        <w:t xml:space="preserve">نیچریه یا ناتورالیسم</w:t>
      </w:r>
      <w:r>
        <w:rPr>
          <w:rtl/>
        </w:rPr>
        <w:t xml:space="preserve">، صفحهٔ ۱۵ و ۱۶.</w:t>
      </w:r>
    </w:p>
    <w:p>
      <w:pPr>
        <w:pStyle w:val="FootnoteText"/>
        <w:bidi/>
      </w:pPr>
      <w:r>
        <w:rPr>
          <w:rtl/>
        </w:rPr>
        <w:t xml:space="preserve">بحث داروین در مورد از بین رفتن اندامهائی که دیگر به کار ارگانیسم نمی‌آید بسیار عمیق‌تر و جدی‌تر از مطلبی است که جمال‌الدین عنوان می‌کند.</w:t>
      </w:r>
    </w:p>
    <w:p>
      <w:pPr>
        <w:pStyle w:val="FootnoteText"/>
        <w:bidi/>
      </w:pPr>
      <w:r>
        <w:rPr>
          <w:rtl/>
        </w:rPr>
        <w:t xml:space="preserve">از نظر داروین از بین رفتن اندام زائد، نه تنها به این امر وابسته است که ارگانیسم در شرائط طبیعیِ جدید جهت انطباق خود با محیط نیازی بدان ندارد، بلکه به این امر نیز وابسته است که آن اندام مانع انطباق و سدّ راه زندگی ارگانیسم باشد. مثلاً انسان به دلائلی که فعلاً از بحث ما بیرون است، به مرحله‌ای رسید که ماهیتاً از میمون متفاوت شد و نوع جدیدی را تشکیل داد و دیگر برای زندگی کردن احتیاجی به دُم نداشت و همچنین به دلیل آنکه این دم مانع از آن می‌شد که در شرائط تازه بتواند به راحتی زندگی کند — و مثلاً نشستن او را بر روی نشیمن‌گاه که با وضعیت جسمی وی کاملاً منطبق بود، غیرممکن می‌ساخت‌ — دُم را از دست داد. در مورد مثال ختنه و یا از آن هم عامّ‌تر بکارت دختران (موردی که مسلماً داروین در خود اروپا آن را مشاهده می‌کرده و برای آگاهی از آن احتیاجی به اطلاع از احوال اعراب و عبری‌ها نداشته) باید گفت که از بین نرفتن این قسمتها در نسلهای بعدی با نظریهٔ داروین به شرحی که گذشت مغایرت ندارد. </w:t>
      </w:r>
    </w:p>
  </w:footnote>
  <w:footnote w:id="182">
    <w:p>
      <w:pPr>
        <w:pStyle w:val="FootnoteText"/>
        <w:bidi/>
      </w:pPr>
      <w:r>
        <w:rPr>
          <w:rStyle w:val="FootnoteReference"/>
        </w:rPr>
        <w:footnoteRef/>
      </w:r>
      <w:r>
        <w:rPr>
          <w:rtl/>
        </w:rPr>
        <w:t xml:space="preserve"> </w:t>
      </w:r>
      <w:r>
        <w:rPr>
          <w:rtl/>
        </w:rPr>
        <w:t xml:space="preserve">و منشأ این تناقض اساساً خود او نیست بلکه پایگاه اجتماعی او، یعنی آن قشرهائی از جامعه است که او از لحاظ فکری بدانها تعلق دارد. چنانکه بعداً خواهیم دید، این قشرها دستخوش تناقضاتی شده بودند که ناظر دقیق — و حتّی خود جمال‌الدین‌ — می‌توانست آثار مرگ را در چهره آنها بخواند.</w:t>
      </w:r>
    </w:p>
    <w:p>
      <w:pPr>
        <w:pStyle w:val="FootnoteText"/>
        <w:bidi/>
      </w:pPr>
      <w:r>
        <w:rPr>
          <w:rtl/>
        </w:rPr>
        <w:t xml:space="preserve">اگر جمال‌الدین بجای تشریح مثلاً عقاید داروین و ردّ آنها، با استدلال، به تحریف آنها دست می‌زند و داروین را نیز به باد ناسزا می‌گیرد، در زیر این عمل او باید تنشهای روحی قشرهائی از جامعه را دید که چون در واقعیت امیدی برای خود نمی‌بینند می‌کوشند با تصور آن به شیوهٔ دلخواه خود، خاطر آشفتهٔ خویش را تسلی بخشند. وضعی که جمال‌الدین در زمینهٔ فلسفه بدان دچار شده، به صورتی آشکارتر، در عقاید سیاسی او تجلی می‌کند. او در سیاست همانطور که دیدیم بر‌اساس تصورات بی‌پایه‌ای که از هیئتهای حاکمه کشورهای اسلامی داشت، طرحهائی ارائه کرد که گذشت زمان هر‌چه بیشتر تخیلی بودن آنها را اثبات نمود. این پریشان فکری فلسفی و آن طرحهای سیاسی تخیلی، همه زائیدهٔ یک چیزند — پایگاه اجتماعی متزلزل و در حال زوال. </w:t>
      </w:r>
    </w:p>
  </w:footnote>
  <w:footnote w:id="184">
    <w:p>
      <w:pPr>
        <w:pStyle w:val="FootnoteText"/>
        <w:bidi/>
      </w:pPr>
      <w:r>
        <w:rPr>
          <w:rStyle w:val="FootnoteReference"/>
        </w:rPr>
        <w:footnoteRef/>
      </w:r>
      <w:r>
        <w:rPr>
          <w:rtl/>
        </w:rPr>
        <w:t xml:space="preserve"> </w:t>
      </w:r>
      <w:r>
        <w:rPr>
          <w:rtl/>
        </w:rPr>
        <w:t xml:space="preserve">در همان هندوستان که جمال‌الدین با نوشتن «رسالهٔ نیچریه» دین اسلام را برترین دین موجود دانست و مخصوصاً از طریق مقایسه دین اسلام با دین برهما، تا‌حدودی، موجبات دلسردی هندیان را از دین خود فراهم نمود، در عوض، مقالهٔ «فلسفهٔ وحدت جنسیت و حقیقت اتّحاد لغت» را نیز نوشت و در آن از هندیان خواست تا گرد زبانهای محلی خویش — اردو و سانسکریت — فراهم آیند و اساس ملیت خویش را تحکیم بخشند: «… الحقّ این وحدت لغت، عجیب رابطه‌ای است و غریب خویش و پیوندی است و اوست آن یگانه وحدتی که عشایر مختلفة الاغراض و قبایل متنوعة المقاصد را در تحت لوای وحدت جنسیت بسوی مقصد واحد سوق می‌کند…»، «در عالم انسانی رابطه‌ای که دایره آن واسع بوده باشد و جمع کثیری را بیکدیگر مربوط سازد از دو قسم خالی نخواهد بود یکی همین وحدت لغت است که از آن به جنسیت و وحدت جنسیت نیز تعبیر می‌شد و دیگری دین — و هیچ شکی درین نیست که وحدت لغت یعنی جنسیت در بقاء و ثبات درین دار دنیا از وحدت در دین اودم است…»</w:t>
      </w:r>
    </w:p>
    <w:p>
      <w:pPr>
        <w:pStyle w:val="FootnoteText"/>
        <w:bidi/>
      </w:pPr>
      <w:r>
        <w:rPr>
          <w:rtl/>
        </w:rPr>
        <w:t xml:space="preserve">وحدت زبان، جامعه‌ای را که امتیازات طبقاتی، طبقاتِ آن را از یکدیگر جدا نگه می‌دارد، انسجام می‌بخشد: «… از برای مؤسس شدن مدنیت و محکم گردیدن جنسیت و پایداری وحدت قومیت واجب چنان است که هر طبقه‌ای از طبقات سافلهٔ جنس را اندک معرفتی به معلومات طبقات عالیه بوده باشد تا آنکه ماهیت افاضه و استفاضه صورت هستی‌پذیر و حقیقت تعاون و توازر متحقق گردد.»</w:t>
      </w:r>
    </w:p>
    <w:p>
      <w:pPr>
        <w:pStyle w:val="FootnoteText"/>
        <w:bidi/>
      </w:pPr>
      <w:r>
        <w:rPr>
          <w:rtl/>
        </w:rPr>
        <w:t xml:space="preserve">(</w:t>
      </w:r>
      <w:r>
        <w:rPr>
          <w:i/>
          <w:iCs/>
          <w:rtl/>
        </w:rPr>
        <w:t xml:space="preserve">مقالات جمالیه</w:t>
      </w:r>
      <w:r>
        <w:rPr>
          <w:rtl/>
        </w:rPr>
        <w:t xml:space="preserve">، صفحات ۷۵ تا ۸۷). </w:t>
      </w:r>
    </w:p>
  </w:footnote>
  <w:footnote w:id="185">
    <w:p>
      <w:pPr>
        <w:pStyle w:val="FootnoteText"/>
        <w:bidi/>
      </w:pPr>
      <w:r>
        <w:rPr>
          <w:rStyle w:val="FootnoteReference"/>
        </w:rPr>
        <w:footnoteRef/>
      </w:r>
      <w:r>
        <w:rPr>
          <w:rtl/>
        </w:rPr>
        <w:t xml:space="preserve"> </w:t>
      </w:r>
      <w:r>
        <w:rPr>
          <w:i/>
          <w:iCs/>
          <w:rtl/>
        </w:rPr>
        <w:t xml:space="preserve">مقالهٔ تعلیم و تربیت</w:t>
      </w:r>
      <w:r>
        <w:rPr>
          <w:rtl/>
        </w:rPr>
        <w:t xml:space="preserve">،</w:t>
      </w:r>
      <w:r>
        <w:rPr>
          <w:rtl/>
        </w:rPr>
        <w:t xml:space="preserve"> </w:t>
      </w:r>
      <w:r>
        <w:rPr>
          <w:i/>
          <w:iCs/>
          <w:rtl/>
        </w:rPr>
        <w:t xml:space="preserve">مقالات جمالیه</w:t>
      </w:r>
      <w:r>
        <w:rPr>
          <w:rtl/>
        </w:rPr>
        <w:t xml:space="preserve">، صفحهٔ ۱۱۴. </w:t>
      </w:r>
    </w:p>
  </w:footnote>
  <w:footnote w:id="186">
    <w:p>
      <w:pPr>
        <w:pStyle w:val="FootnoteText"/>
        <w:bidi/>
      </w:pPr>
      <w:r>
        <w:rPr>
          <w:rStyle w:val="FootnoteReference"/>
        </w:rPr>
        <w:footnoteRef/>
      </w:r>
      <w:r>
        <w:rPr>
          <w:rtl/>
        </w:rPr>
        <w:t xml:space="preserve"> </w:t>
      </w:r>
      <w:r>
        <w:rPr>
          <w:i/>
          <w:iCs/>
          <w:rtl/>
        </w:rPr>
        <w:t xml:space="preserve">آکهوریان با شوکت و شأن</w:t>
      </w:r>
      <w:r>
        <w:rPr>
          <w:rtl/>
        </w:rPr>
        <w:t xml:space="preserve">،</w:t>
      </w:r>
      <w:r>
        <w:rPr>
          <w:rtl/>
        </w:rPr>
        <w:t xml:space="preserve"> </w:t>
      </w:r>
      <w:r>
        <w:rPr>
          <w:i/>
          <w:iCs/>
          <w:rtl/>
        </w:rPr>
        <w:t xml:space="preserve">مقالات جمالیه</w:t>
      </w:r>
      <w:r>
        <w:rPr>
          <w:rtl/>
        </w:rPr>
        <w:t xml:space="preserve">، صفحات ۴۱ و ۴۲. </w:t>
      </w:r>
    </w:p>
  </w:footnote>
  <w:footnote w:id="187">
    <w:p>
      <w:pPr>
        <w:pStyle w:val="FootnoteText"/>
        <w:bidi/>
      </w:pPr>
      <w:r>
        <w:rPr>
          <w:rStyle w:val="FootnoteReference"/>
        </w:rPr>
        <w:footnoteRef/>
      </w:r>
      <w:r>
        <w:rPr>
          <w:rtl/>
        </w:rPr>
        <w:t xml:space="preserve"> </w:t>
      </w:r>
      <w:r>
        <w:rPr>
          <w:rtl/>
        </w:rPr>
        <w:t xml:space="preserve">همان‌جا [</w:t>
      </w:r>
      <w:r>
        <w:rPr>
          <w:i/>
          <w:iCs/>
          <w:rtl/>
        </w:rPr>
        <w:t xml:space="preserve">آکهوریان با شوکت و شأن</w:t>
      </w:r>
      <w:r>
        <w:rPr>
          <w:rtl/>
        </w:rPr>
        <w:t xml:space="preserve">،</w:t>
      </w:r>
      <w:r>
        <w:rPr>
          <w:rtl/>
        </w:rPr>
        <w:t xml:space="preserve"> </w:t>
      </w:r>
      <w:r>
        <w:rPr>
          <w:i/>
          <w:iCs/>
          <w:rtl/>
        </w:rPr>
        <w:t xml:space="preserve">مقالات جمالیه</w:t>
      </w:r>
      <w:r>
        <w:rPr>
          <w:rtl/>
        </w:rPr>
        <w:t xml:space="preserve">]، صفحات ۴۲ و ۴۳. </w:t>
      </w:r>
    </w:p>
  </w:footnote>
  <w:footnote w:id="188">
    <w:p>
      <w:pPr>
        <w:pStyle w:val="FootnoteText"/>
        <w:bidi/>
      </w:pPr>
      <w:r>
        <w:rPr>
          <w:rStyle w:val="FootnoteReference"/>
        </w:rPr>
        <w:footnoteRef/>
      </w:r>
      <w:r>
        <w:rPr>
          <w:rtl/>
        </w:rPr>
        <w:t xml:space="preserve"> </w:t>
      </w:r>
      <w:r>
        <w:rPr>
          <w:rtl/>
        </w:rPr>
        <w:t xml:space="preserve">جمال‌الدین هرگز یک انقلابی، یعنی خواستار تغییر کیفی و ناگهانی روابط اجتماعی نبوده است. </w:t>
      </w:r>
    </w:p>
  </w:footnote>
  <w:footnote w:id="189">
    <w:p>
      <w:pPr>
        <w:pStyle w:val="FootnoteText"/>
        <w:bidi/>
      </w:pPr>
      <w:r>
        <w:rPr>
          <w:rStyle w:val="FootnoteReference"/>
        </w:rPr>
        <w:footnoteRef/>
      </w:r>
      <w:r>
        <w:rPr>
          <w:rtl/>
        </w:rPr>
        <w:t xml:space="preserve"> </w:t>
      </w:r>
      <w:r>
        <w:rPr>
          <w:rtl/>
        </w:rPr>
        <w:t xml:space="preserve">مقالهٔ</w:t>
      </w:r>
      <w:r>
        <w:rPr>
          <w:rtl/>
        </w:rPr>
        <w:t xml:space="preserve"> </w:t>
      </w:r>
      <w:r>
        <w:rPr>
          <w:i/>
          <w:iCs/>
          <w:rtl/>
        </w:rPr>
        <w:t xml:space="preserve">تفسیر مفسر</w:t>
      </w:r>
      <w:r>
        <w:rPr>
          <w:rtl/>
        </w:rPr>
        <w:t xml:space="preserve">،</w:t>
      </w:r>
      <w:r>
        <w:rPr>
          <w:rtl/>
        </w:rPr>
        <w:t xml:space="preserve"> </w:t>
      </w:r>
      <w:r>
        <w:rPr>
          <w:i/>
          <w:iCs/>
          <w:rtl/>
        </w:rPr>
        <w:t xml:space="preserve">مقالات جمالیه</w:t>
      </w:r>
      <w:r>
        <w:rPr>
          <w:rtl/>
        </w:rPr>
        <w:t xml:space="preserve">، صفحهٔ ۱۰۲ </w:t>
      </w:r>
    </w:p>
  </w:footnote>
  <w:footnote w:id="190">
    <w:p>
      <w:pPr>
        <w:pStyle w:val="FootnoteText"/>
        <w:bidi/>
      </w:pPr>
      <w:r>
        <w:rPr>
          <w:rStyle w:val="FootnoteReference"/>
        </w:rPr>
        <w:footnoteRef/>
      </w:r>
      <w:r>
        <w:rPr>
          <w:rtl/>
        </w:rPr>
        <w:t xml:space="preserve"> </w:t>
      </w:r>
      <w:r>
        <w:rPr>
          <w:rtl/>
        </w:rPr>
        <w:t xml:space="preserve">متن پاسخی که جمال‌الدین به رنان داده به صورتی که اکنون در دست ماست، مخالفت اصولی با عقاید جمال‌الدین ندارد. جمال‌الدین حتّی در کتاب نیچریه نیز دین را، نه از لحاظ حقانیت آن، بلکه بخاطر قوهٔ محرکه‌اش در جامعهٔ مورد ستایش قرار داده و با همردیف قرار دادن کلیهٔ ادیان از ابتدائی‌ترین تا پیشرفته‌ترین آنها، خود را فارغ از هر‌گونه تعصب نسبت به مذهبی خاصّ و حقانیت آن نشان می‌دهد. در مقالهٔ «تفسیر مفسر» ظاهراً با اشاره به سِر‌سید احمد خان می‌گوید: «… این مفسر، جاهل بدین‌خبر نیست — مصری‌ها در آن هنگامی اساس مدنیت و علوم و صنایع را نهادند و استاد یونانیان شدند که به بت‌ها و گاو‌ها و گربه‌ها ایمان داشتند…».</w:t>
      </w:r>
    </w:p>
    <w:p>
      <w:pPr>
        <w:pStyle w:val="FootnoteText"/>
        <w:bidi/>
      </w:pPr>
      <w:r>
        <w:rPr>
          <w:rtl/>
        </w:rPr>
        <w:t xml:space="preserve">رجحان دین اسلام از نظر او فقط بخاطر آن است که بهتر از سایر ادیان می‌تواند بعنوان سیمان پیوند دهنده جامعه و در عین‌حال، نیروی تحوّل تدریجی آن، بکار رود.</w:t>
      </w:r>
    </w:p>
    <w:p>
      <w:pPr>
        <w:pStyle w:val="FootnoteText"/>
        <w:bidi/>
      </w:pPr>
      <w:r>
        <w:rPr>
          <w:rtl/>
        </w:rPr>
        <w:t xml:space="preserve">اختلافی که این پاسخ با سایر نوشته‌های جمال‌الدین دارد یکی صراحت غیر‌معمول آن است و دیگری انتقاد علنی از دین. تفاوت لحن جمال‌الدین با توجه به مخاطبین خویش امری طبیعی است و انتقاداتی که به مذهب وارد می‌کند، اگر‌چه در هیچ‌یک از نوشته‌های فارسی و عربی او بدین‌شکل دیده نمی‌شود، خود بخود از نحوه برخورد او با مذهب ناشی می‌شود. </w:t>
      </w:r>
    </w:p>
  </w:footnote>
  <w:footnote w:id="191">
    <w:p>
      <w:pPr>
        <w:pStyle w:val="FootnoteText"/>
        <w:bidi/>
      </w:pPr>
      <w:r>
        <w:rPr>
          <w:rStyle w:val="FootnoteReference"/>
        </w:rPr>
        <w:footnoteRef/>
      </w:r>
      <w:r>
        <w:rPr>
          <w:rtl/>
        </w:rPr>
        <w:t xml:space="preserve"> </w:t>
      </w:r>
      <w:r>
        <w:rPr>
          <w:rtl/>
        </w:rPr>
        <w:t xml:space="preserve">رجوع شود به</w:t>
      </w:r>
      <w:r>
        <w:rPr>
          <w:rtl/>
        </w:rPr>
        <w:t xml:space="preserve"> </w:t>
      </w:r>
      <w:r>
        <w:rPr>
          <w:i/>
          <w:iCs/>
          <w:rtl/>
        </w:rPr>
        <w:t xml:space="preserve">دربارهٔ اسلام و علم</w:t>
      </w:r>
      <w:r>
        <w:rPr>
          <w:rtl/>
        </w:rPr>
        <w:t xml:space="preserve">، صفحات ۴۶ تا ۴۸</w:t>
      </w:r>
    </w:p>
    <w:p>
      <w:pPr>
        <w:pStyle w:val="FootnoteText"/>
        <w:bidi/>
      </w:pPr>
      <w:r>
        <w:rPr>
          <w:rtl/>
        </w:rPr>
        <w:t xml:space="preserve">در اینجا برخورد می‌کنیم با یک نکتهٔ بسیار مهمّ در مورد مذهب و نحوه برخورد با آن هنگام تجزیه و تحلیل تاریخی: درکی که ما از ماهیت مذهب داریم یک چیز است و نقش مذهب به عنوان یک جریان اجتماعی – تاریخی چیز دیگر. ممکن است معتقد باشیم که مذهب زائیده جهل انسان از نیروهای طبیعی و کوشش اقویا برای مُنقاد کردن ضعفا می‌باشد. لیکن، این اعتقاد نباید ما را به این نتیجه‌گیری نادرست برکشاند که یکباره نقش مذهب را در جریان تکامل اجتماعی نادیده بگیریم و آن را به عنوان یک نیروی ارتجاعی که در هر حال باعث رکود و جمود جامعهٔ بشری می‌شود، محکوم کنیم. چنین عملی برخوردی کاملاً قشری و قالبی با مذهب است و ظاهراً، جمال‌الدین در هندوستان بیشتر وقت خود را صرف مبارزه با اینگونه «آزاد اندیشی» و «روشنفکریِ» افراطی کرده است.</w:t>
      </w:r>
    </w:p>
    <w:p>
      <w:pPr>
        <w:pStyle w:val="FootnoteText"/>
        <w:bidi/>
      </w:pPr>
      <w:r>
        <w:rPr>
          <w:rtl/>
        </w:rPr>
        <w:t xml:space="preserve">انسانی که از پرستیدن بت‌ها و نیروهای طبیعت دست می‌کشد و به خدائی یگانه و نادیدنی معتقد می‌شود به یک جهش فکری بزرگ دست یافته است و جامعه در راه تکامل و پیشرفت به تغییری کیفی دست یافته است.</w:t>
      </w:r>
    </w:p>
    <w:p>
      <w:pPr>
        <w:pStyle w:val="FootnoteText"/>
        <w:bidi/>
      </w:pPr>
      <w:r>
        <w:rPr>
          <w:rtl/>
        </w:rPr>
        <w:t xml:space="preserve">از سوی دیگر، مخصوصاً در جامعهٔ فئودالی که تنها شکل رایج ایدئولوژی مذهب است، بسیاری از نهضتهای مترقی، مذهب را به عنوان لفافه ایدئولوژیک و پایگاه فکری خویش انتخاب می‌کنند. </w:t>
      </w:r>
    </w:p>
  </w:footnote>
  <w:footnote w:id="192">
    <w:p>
      <w:pPr>
        <w:pStyle w:val="FootnoteText"/>
        <w:bidi/>
      </w:pPr>
      <w:r>
        <w:rPr>
          <w:rStyle w:val="FootnoteReference"/>
        </w:rPr>
        <w:footnoteRef/>
      </w:r>
      <w:r>
        <w:rPr>
          <w:rtl/>
        </w:rPr>
        <w:t xml:space="preserve"> </w:t>
      </w:r>
      <w:r>
        <w:rPr>
          <w:i/>
          <w:iCs/>
          <w:rtl/>
        </w:rPr>
        <w:t xml:space="preserve">دربارهٔ اسلام و علم</w:t>
      </w:r>
      <w:r>
        <w:rPr>
          <w:rtl/>
        </w:rPr>
        <w:t xml:space="preserve">، صفحهٔ ۵۴. </w:t>
      </w:r>
    </w:p>
  </w:footnote>
  <w:footnote w:id="194">
    <w:p>
      <w:pPr>
        <w:pStyle w:val="FootnoteText"/>
        <w:bidi/>
      </w:pPr>
      <w:r>
        <w:rPr>
          <w:rStyle w:val="FootnoteReference"/>
        </w:rPr>
        <w:footnoteRef/>
      </w:r>
      <w:r>
        <w:rPr>
          <w:rtl/>
        </w:rPr>
        <w:t xml:space="preserve"> </w:t>
      </w:r>
      <w:r>
        <w:rPr>
          <w:rtl/>
        </w:rPr>
        <w:t xml:space="preserve">انتقادات رنان نیز به مذهب اسلام از همین نوع است. </w:t>
      </w:r>
    </w:p>
  </w:footnote>
  <w:footnote w:id="195">
    <w:p>
      <w:pPr>
        <w:pStyle w:val="FootnoteText"/>
        <w:bidi/>
      </w:pPr>
      <w:r>
        <w:rPr>
          <w:rStyle w:val="FootnoteReference"/>
        </w:rPr>
        <w:footnoteRef/>
      </w:r>
      <w:r>
        <w:rPr>
          <w:rtl/>
        </w:rPr>
        <w:t xml:space="preserve"> </w:t>
      </w:r>
      <w:r>
        <w:rPr>
          <w:rtl/>
        </w:rPr>
        <w:t xml:space="preserve">از</w:t>
      </w:r>
      <w:r>
        <w:rPr>
          <w:rtl/>
        </w:rPr>
        <w:t xml:space="preserve"> </w:t>
      </w:r>
      <w:r>
        <w:rPr>
          <w:i/>
          <w:iCs/>
          <w:rtl/>
        </w:rPr>
        <w:t xml:space="preserve">نشریه اطلاع</w:t>
      </w:r>
      <w:r>
        <w:rPr>
          <w:rtl/>
        </w:rPr>
        <w:t xml:space="preserve">، پنجشنبه ۲۶ رجب، سنه ۱۳۰۱، شماره ۹۱، صفحات اول و دوم و سوم و چهارم، ترجمه از</w:t>
      </w:r>
      <w:r>
        <w:rPr>
          <w:rtl/>
        </w:rPr>
        <w:t xml:space="preserve"> </w:t>
      </w:r>
      <w:r>
        <w:rPr>
          <w:i/>
          <w:iCs/>
          <w:rtl/>
        </w:rPr>
        <w:t xml:space="preserve">عروة الوثقی</w:t>
      </w:r>
      <w:r>
        <w:rPr>
          <w:rtl/>
        </w:rPr>
        <w:t xml:space="preserve">. </w:t>
      </w:r>
    </w:p>
  </w:footnote>
  <w:footnote w:id="196">
    <w:p>
      <w:pPr>
        <w:pStyle w:val="FootnoteText"/>
        <w:bidi/>
      </w:pPr>
      <w:r>
        <w:rPr>
          <w:rStyle w:val="FootnoteReference"/>
        </w:rPr>
        <w:footnoteRef/>
      </w:r>
      <w:r>
        <w:rPr>
          <w:rtl/>
        </w:rPr>
        <w:t xml:space="preserve"> </w:t>
      </w:r>
      <w:r>
        <w:rPr>
          <w:i/>
          <w:iCs/>
          <w:rtl/>
        </w:rPr>
        <w:t xml:space="preserve">دربارهٔ اسلام و علم</w:t>
      </w:r>
      <w:r>
        <w:rPr>
          <w:rtl/>
        </w:rPr>
        <w:t xml:space="preserve">، صفحات ۱۶۱ و ۱۶۲. این همان عقیده دوم است که در رسالهٔ نیچریه آمده بود. این عقیده همانطور که قبلاً نیز تذکر دادم اساسی است برای بر‌انگیختن حس قومی و ملّی در مسلمانان. </w:t>
      </w:r>
    </w:p>
  </w:footnote>
  <w:footnote w:id="197">
    <w:p>
      <w:pPr>
        <w:pStyle w:val="FootnoteText"/>
        <w:bidi/>
      </w:pPr>
      <w:r>
        <w:rPr>
          <w:rStyle w:val="FootnoteReference"/>
        </w:rPr>
        <w:footnoteRef/>
      </w:r>
      <w:r>
        <w:rPr>
          <w:rtl/>
        </w:rPr>
        <w:t xml:space="preserve"> </w:t>
      </w:r>
      <w:r>
        <w:rPr>
          <w:i/>
          <w:iCs/>
          <w:rtl/>
        </w:rPr>
        <w:t xml:space="preserve">دربارهٔ اسلام و علم</w:t>
      </w:r>
      <w:r>
        <w:rPr>
          <w:rtl/>
        </w:rPr>
        <w:t xml:space="preserve">، صفحهٔ ۱۳۸. </w:t>
      </w:r>
    </w:p>
  </w:footnote>
  <w:footnote w:id="198">
    <w:p>
      <w:pPr>
        <w:pStyle w:val="FootnoteText"/>
        <w:bidi/>
      </w:pPr>
      <w:r>
        <w:rPr>
          <w:rStyle w:val="FootnoteReference"/>
        </w:rPr>
        <w:footnoteRef/>
      </w:r>
      <w:r>
        <w:rPr>
          <w:rtl/>
        </w:rPr>
        <w:t xml:space="preserve"> </w:t>
      </w:r>
      <w:r>
        <w:rPr>
          <w:i/>
          <w:iCs/>
          <w:rtl/>
        </w:rPr>
        <w:t xml:space="preserve">دربارهٔ اسلام و علم</w:t>
      </w:r>
      <w:r>
        <w:rPr>
          <w:rtl/>
        </w:rPr>
        <w:t xml:space="preserve">، صفحات ۱۴۲، ۱۴۳. </w:t>
      </w:r>
    </w:p>
  </w:footnote>
  <w:footnote w:id="199">
    <w:p>
      <w:pPr>
        <w:pStyle w:val="FootnoteText"/>
        <w:bidi/>
      </w:pPr>
      <w:r>
        <w:rPr>
          <w:rStyle w:val="FootnoteReference"/>
        </w:rPr>
        <w:footnoteRef/>
      </w:r>
      <w:r>
        <w:rPr>
          <w:rtl/>
        </w:rPr>
        <w:t xml:space="preserve"> </w:t>
      </w:r>
      <w:r>
        <w:rPr>
          <w:rtl/>
        </w:rPr>
        <w:t xml:space="preserve">دکتر محمد حمید‌الله حیدرآبادی، در مقدمه‌ای که بر ترجمهٔ عربی پاسخ جمال‌الدین به رنان می‌نویسد این سؤال را مطرح می‌کند که آیا برای «سید جمال‌الدین که در تمام دورهٔ زندگانی خود از مجاهدین و مدافعین سرسخت اسلام بود… سزاوار است» که مثلاً بگوید: «مردمی که دین اسلام را به زور و یا رغبت قبول کردند.»</w:t>
      </w:r>
    </w:p>
    <w:p>
      <w:pPr>
        <w:pStyle w:val="FootnoteText"/>
        <w:bidi/>
      </w:pPr>
      <w:r>
        <w:rPr>
          <w:rtl/>
        </w:rPr>
        <w:t xml:space="preserve">در پاسخ باید گفت که جمال‌الدین بر روی تأثیر قدرت شمشیر مسلمانان در اشاعه دین اسلام بسیار حساب می‌نماید: «در پرتو همین اعتقاد بود که برق شمشیر درخشان مسلمانان، در طول جنگها، شرق و غرب جهان را پر فروغ ساخت… بطوریکه بیشتر پیروزی آنان در سایه رعب و هراسی بود که در دل دشمنان ایجاد شده بود و بوسیلهٔ همان قدرت روحی، لشکریان دشمن را پیش از آنکه برق شمشیرشان بدرخشد و یا حتّی به نزدیکشان برسند، شکست داده و فراری می‌دادند.»</w:t>
      </w:r>
    </w:p>
    <w:p>
      <w:pPr>
        <w:pStyle w:val="FootnoteText"/>
        <w:bidi/>
      </w:pPr>
      <w:r>
        <w:rPr>
          <w:rtl/>
        </w:rPr>
        <w:t xml:space="preserve">(</w:t>
      </w:r>
      <w:r>
        <w:rPr>
          <w:i/>
          <w:iCs/>
          <w:rtl/>
        </w:rPr>
        <w:t xml:space="preserve">دربارهٔ اسلام و علم</w:t>
      </w:r>
      <w:r>
        <w:rPr>
          <w:rtl/>
        </w:rPr>
        <w:t xml:space="preserve">، صفحات ۱۴۵ تا ۱۴۷) </w:t>
      </w:r>
    </w:p>
  </w:footnote>
  <w:footnote w:id="200">
    <w:p>
      <w:pPr>
        <w:pStyle w:val="FootnoteText"/>
        <w:bidi/>
      </w:pPr>
      <w:r>
        <w:rPr>
          <w:rStyle w:val="FootnoteReference"/>
        </w:rPr>
        <w:footnoteRef/>
      </w:r>
      <w:r>
        <w:rPr>
          <w:rtl/>
        </w:rPr>
        <w:t xml:space="preserve"> </w:t>
      </w:r>
      <w:r>
        <w:rPr>
          <w:rtl/>
        </w:rPr>
        <w:t xml:space="preserve">نشریه</w:t>
      </w:r>
      <w:r>
        <w:rPr>
          <w:rtl/>
        </w:rPr>
        <w:t xml:space="preserve"> </w:t>
      </w:r>
      <w:r>
        <w:rPr>
          <w:i/>
          <w:iCs/>
          <w:rtl/>
        </w:rPr>
        <w:t xml:space="preserve">اطلاع</w:t>
      </w:r>
      <w:r>
        <w:rPr>
          <w:rtl/>
        </w:rPr>
        <w:t xml:space="preserve">، پنجشنبه ۲۶ رجب، سنه ۱۳۰۱، شماره ۹۱، صفحات اول و دوم و سوم و چهارم، ترجمه از</w:t>
      </w:r>
      <w:r>
        <w:rPr>
          <w:rtl/>
        </w:rPr>
        <w:t xml:space="preserve"> </w:t>
      </w:r>
      <w:r>
        <w:rPr>
          <w:i/>
          <w:iCs/>
          <w:rtl/>
        </w:rPr>
        <w:t xml:space="preserve">عروة الوثقی</w:t>
      </w:r>
      <w:r>
        <w:rPr>
          <w:rtl/>
        </w:rPr>
        <w:t xml:space="preserve">. </w:t>
      </w:r>
    </w:p>
  </w:footnote>
  <w:footnote w:id="201">
    <w:p>
      <w:pPr>
        <w:pStyle w:val="FootnoteText"/>
        <w:bidi/>
      </w:pPr>
      <w:r>
        <w:rPr>
          <w:rStyle w:val="FootnoteReference"/>
        </w:rPr>
        <w:footnoteRef/>
      </w:r>
      <w:r>
        <w:rPr>
          <w:rtl/>
        </w:rPr>
        <w:t xml:space="preserve"> </w:t>
      </w:r>
      <w:r>
        <w:rPr>
          <w:rtl/>
        </w:rPr>
        <w:t xml:space="preserve">از نشریه</w:t>
      </w:r>
      <w:r>
        <w:rPr>
          <w:rtl/>
        </w:rPr>
        <w:t xml:space="preserve"> </w:t>
      </w:r>
      <w:r>
        <w:rPr>
          <w:i/>
          <w:iCs/>
          <w:rtl/>
        </w:rPr>
        <w:t xml:space="preserve">اطلاع</w:t>
      </w:r>
      <w:r>
        <w:rPr>
          <w:rtl/>
        </w:rPr>
        <w:t xml:space="preserve">، پنجشنبه ۲۶ رجب، سنه ۱۳۰۱، شماره ۹۱، ترجمه از</w:t>
      </w:r>
      <w:r>
        <w:rPr>
          <w:rtl/>
        </w:rPr>
        <w:t xml:space="preserve"> </w:t>
      </w:r>
      <w:r>
        <w:rPr>
          <w:i/>
          <w:iCs/>
          <w:rtl/>
        </w:rPr>
        <w:t xml:space="preserve">عروة الوثقی</w:t>
      </w:r>
      <w:r>
        <w:rPr>
          <w:rtl/>
        </w:rPr>
        <w:t xml:space="preserve">.</w:t>
      </w:r>
    </w:p>
    <w:p>
      <w:pPr>
        <w:pStyle w:val="FootnoteText"/>
        <w:bidi/>
      </w:pPr>
      <w:r>
        <w:rPr>
          <w:rtl/>
        </w:rPr>
        <w:t xml:space="preserve">«… شما کجائید‌ای عزیزان،‌ای برپا‌‌دارندگان عدالت، هواداران حقیقت، سخنوران با حکمت و بنیان گذاران امت؟»</w:t>
      </w:r>
    </w:p>
    <w:p>
      <w:pPr>
        <w:pStyle w:val="FootnoteText"/>
        <w:bidi/>
      </w:pPr>
      <w:r>
        <w:rPr>
          <w:rtl/>
        </w:rPr>
        <w:t xml:space="preserve">«از درون گورها و از اعماق قبرها، چشم باز کنید و این روز بی‌سامان و وضع پریشان را بنگرید و بر حال فرزندان و نوادگان خود بیندیشید: آنها از راه و روش شما منحرف گشته و برای خود، روشی اتخاذ نموده‌اند که گمراه شده‌اند و بفرقه‌ها و گروههای مختلفی تقسیم شده‌اند تا آنکه امروز از ناتوانی بحالی افتاده‌اند که دل از تأسف آب می‌شود و جگر از اندوه می‌سوزد. آنان قربانی تجاوز ملل بیگانه گشته و نمی‌توانند از خود و سرزمینشان دفاع نمایند. آیا از دنیای شما کسی نیست که فریاد بر‌آورد…» (</w:t>
      </w:r>
      <w:r>
        <w:rPr>
          <w:i/>
          <w:iCs/>
          <w:rtl/>
        </w:rPr>
        <w:t xml:space="preserve">دربارهٔ اسلام و علم</w:t>
      </w:r>
      <w:r>
        <w:rPr>
          <w:rtl/>
        </w:rPr>
        <w:t xml:space="preserve">، صفحات ۱۴۷ و ۱۴۸). </w:t>
      </w:r>
    </w:p>
  </w:footnote>
  <w:footnote w:id="202">
    <w:p>
      <w:pPr>
        <w:pStyle w:val="FootnoteText"/>
        <w:bidi/>
      </w:pPr>
      <w:r>
        <w:rPr>
          <w:rStyle w:val="FootnoteReference"/>
        </w:rPr>
        <w:footnoteRef/>
      </w:r>
      <w:r>
        <w:rPr>
          <w:rtl/>
        </w:rPr>
        <w:t xml:space="preserve"> </w:t>
      </w:r>
      <w:r>
        <w:rPr>
          <w:i/>
          <w:iCs/>
          <w:rtl/>
        </w:rPr>
        <w:t xml:space="preserve">مقالات جمالیه</w:t>
      </w:r>
      <w:r>
        <w:rPr>
          <w:rtl/>
        </w:rPr>
        <w:t xml:space="preserve">،</w:t>
      </w:r>
      <w:r>
        <w:rPr>
          <w:rtl/>
        </w:rPr>
        <w:t xml:space="preserve"> </w:t>
      </w:r>
      <w:r>
        <w:rPr>
          <w:i/>
          <w:iCs/>
          <w:rtl/>
        </w:rPr>
        <w:t xml:space="preserve">لکچر در تعلیم و تربیت</w:t>
      </w:r>
      <w:r>
        <w:rPr>
          <w:rtl/>
        </w:rPr>
        <w:t xml:space="preserve">، صفحهٔ ۹۵. </w:t>
      </w:r>
    </w:p>
  </w:footnote>
  <w:footnote w:id="203">
    <w:p>
      <w:pPr>
        <w:pStyle w:val="FootnoteText"/>
        <w:bidi/>
      </w:pPr>
      <w:r>
        <w:rPr>
          <w:rStyle w:val="FootnoteReference"/>
        </w:rPr>
        <w:footnoteRef/>
      </w:r>
      <w:r>
        <w:rPr>
          <w:rtl/>
        </w:rPr>
        <w:t xml:space="preserve"> </w:t>
      </w:r>
      <w:r>
        <w:rPr>
          <w:i/>
          <w:iCs/>
          <w:rtl/>
        </w:rPr>
        <w:t xml:space="preserve">مقالات جمالیه</w:t>
      </w:r>
      <w:r>
        <w:rPr>
          <w:rtl/>
        </w:rPr>
        <w:t xml:space="preserve">،</w:t>
      </w:r>
      <w:r>
        <w:rPr>
          <w:rtl/>
        </w:rPr>
        <w:t xml:space="preserve"> </w:t>
      </w:r>
      <w:r>
        <w:rPr>
          <w:i/>
          <w:iCs/>
          <w:rtl/>
        </w:rPr>
        <w:t xml:space="preserve">لکچر در تعلیم و تربیت</w:t>
      </w:r>
      <w:r>
        <w:rPr>
          <w:rtl/>
        </w:rPr>
        <w:t xml:space="preserve">، صفحهٔ ۹۲.</w:t>
      </w:r>
    </w:p>
    <w:p>
      <w:pPr>
        <w:pStyle w:val="FootnoteText"/>
        <w:bidi/>
      </w:pPr>
      <w:r>
        <w:rPr>
          <w:rtl/>
        </w:rPr>
        <w:t xml:space="preserve">«مسلمانان صدر اول را هیچ علمی نبود لکن بواسطه دیانت اسلامیه در آنها یک روح فلسفی پیدا شده بود و بواسطه آن روح فلسفی از امور کلیه و لوازم انسانی بحث کردن گرفتند و این سبب شد که آنها جمیع آن علوم را که موضوع آنها خاصّ بود در زمان منصور دوانقی از سریانی و پارسی و یونانی به زبان عربی ترجمه نموده در اندک زمانی استحصال نمودند…» (همان‌جا، صفحات ۹۲ و ۹۳) </w:t>
      </w:r>
    </w:p>
  </w:footnote>
  <w:footnote w:id="205">
    <w:p>
      <w:pPr>
        <w:pStyle w:val="FootnoteText"/>
        <w:bidi/>
      </w:pPr>
      <w:r>
        <w:rPr>
          <w:rStyle w:val="FootnoteReference"/>
        </w:rPr>
        <w:footnoteRef/>
      </w:r>
      <w:r>
        <w:rPr>
          <w:rtl/>
        </w:rPr>
        <w:t xml:space="preserve"> </w:t>
      </w:r>
      <w:r>
        <w:rPr>
          <w:rtl/>
        </w:rPr>
        <w:t xml:space="preserve">البتّه بدیهی است که جمال‌الدین به عنوان یک مرد عمل و در اثر احتیاجات فعالیتهای عملی خود ناگزیر به نقادی نظریات خود و محیط اطرافش گردید. </w:t>
      </w:r>
    </w:p>
  </w:footnote>
  <w:footnote w:id="206">
    <w:p>
      <w:pPr>
        <w:pStyle w:val="FootnoteText"/>
        <w:bidi/>
      </w:pPr>
      <w:r>
        <w:rPr>
          <w:rStyle w:val="FootnoteReference"/>
        </w:rPr>
        <w:footnoteRef/>
      </w:r>
      <w:r>
        <w:rPr>
          <w:rtl/>
        </w:rPr>
        <w:t xml:space="preserve"> </w:t>
      </w:r>
      <w:r>
        <w:rPr>
          <w:i/>
          <w:iCs/>
          <w:rtl/>
        </w:rPr>
        <w:t xml:space="preserve">نامه‌های سید جمال‌الدین اسدآبادی</w:t>
      </w:r>
      <w:r>
        <w:rPr>
          <w:rtl/>
        </w:rPr>
        <w:t xml:space="preserve">، مقدمه و گردآوری ابوالحسن جمالی اسدآبادی، صفحات ۱۲۴ و ۱۲۵. </w:t>
      </w:r>
    </w:p>
  </w:footnote>
  <w:footnote w:id="207">
    <w:p>
      <w:pPr>
        <w:pStyle w:val="FootnoteText"/>
        <w:bidi/>
      </w:pPr>
      <w:r>
        <w:rPr>
          <w:rStyle w:val="FootnoteReference"/>
        </w:rPr>
        <w:footnoteRef/>
      </w:r>
      <w:r>
        <w:rPr>
          <w:rtl/>
        </w:rPr>
        <w:t xml:space="preserve"> </w:t>
      </w:r>
      <w:r>
        <w:rPr>
          <w:i/>
          <w:iCs/>
          <w:rtl/>
        </w:rPr>
        <w:t xml:space="preserve">نامه‌های سید جمال‌الدین اسدآبادی</w:t>
      </w:r>
      <w:r>
        <w:rPr>
          <w:rtl/>
        </w:rPr>
        <w:t xml:space="preserve">، صفحات ۱۴۰ و ۱۴۱. </w:t>
      </w:r>
    </w:p>
  </w:footnote>
  <w:footnote w:id="208">
    <w:p>
      <w:pPr>
        <w:pStyle w:val="FootnoteText"/>
        <w:bidi/>
      </w:pPr>
      <w:r>
        <w:rPr>
          <w:rStyle w:val="FootnoteReference"/>
        </w:rPr>
        <w:footnoteRef/>
      </w:r>
      <w:r>
        <w:rPr>
          <w:rtl/>
        </w:rPr>
        <w:t xml:space="preserve"> </w:t>
      </w:r>
      <w:r>
        <w:rPr>
          <w:rtl/>
        </w:rPr>
        <w:t xml:space="preserve">بعداً خواهیم دید که جمال‌الدین بدان قشری از جامعهٔ مسلمان تعلق دارد که بهیچوجه جسارت ورود به یک جنگ داخلی را ندارد و می‌داند که چنین جنگی بهیچوجه به نفع او نیست و اساساً منافع او به بهترین نحو ممکن در نظم کنونی تأمین می‌شود به شرط اینکه مختصر اصلاحاتی که بعداً خواهیم دید در آن صورت گرفته و با سلطه استعمار به شیوه‌ای نسبتاً جدی مبارزه شود.</w:t>
      </w:r>
    </w:p>
    <w:p>
      <w:pPr>
        <w:pStyle w:val="FootnoteText"/>
        <w:bidi/>
      </w:pPr>
      <w:r>
        <w:rPr>
          <w:rtl/>
        </w:rPr>
        <w:t xml:space="preserve">در مورد ساخت طبقاتی جامعه و روابط طبقات، جمال‌الدین به ندرت سخن می‌گوید و بیشتر واحد کلام او واژه‌هائی از قبیل “قوم”، “ملت”، و “امت” می‌باشد. مقالهٔ لذائذ نفسانیه یکی از موارد معدودی است که در طی آن تقریباً بنحوی جدی به روابط طبقاتی و منازعات طبقاتی پرداخته است و ضمن قبول اینکه این منازعات زائیده تضادّ منافع و احیاناً بهره‌کشی دسته‌ای از دسته دیگر است، یک راه‌حلّ رفرمیستی برای آن ارائه می‌کند و آن رعایت کردن حقوق دیگران توسط هر فرد است. وی در این مقاله چنین می‌گوید: «… اگر انسان غور نماید خواهد دانست که لذت او در لذت دیگران است و راحت او به راحت اهل مملکت بسته شده است، البتّه در آن وقت می‌تواند که بمقصد اصلی خود فائز گردد. »</w:t>
      </w:r>
    </w:p>
    <w:p>
      <w:pPr>
        <w:pStyle w:val="FootnoteText"/>
        <w:bidi/>
      </w:pPr>
      <w:r>
        <w:rPr>
          <w:rtl/>
        </w:rPr>
        <w:t xml:space="preserve">«مسبب ناراحتی شخص، اطرافیان او هستند و علت اینکه آنها در آزار شخص می‌کوشند عدم ؟؟؟ شخص مذکور است حال اگر او در رعایت جانب دیگران کوشد از طرف آنها آزاری به او نرسیده بسعادت دست خواهد یافت.»</w:t>
      </w:r>
    </w:p>
    <w:p>
      <w:pPr>
        <w:pStyle w:val="FootnoteText"/>
        <w:bidi/>
      </w:pPr>
      <w:r>
        <w:rPr>
          <w:rtl/>
        </w:rPr>
        <w:t xml:space="preserve">سپس این دستور اخلاقی شخصی را بر روابط طبقات یک جامعه تعمیم داده نتیجه می‌گیرد که: «… بلی راحت و لذت از برای انسان در آن مملکتی حاصل خواهد شد که تناسب تامه در میان جمیع طبقات مردم باشد، در همه چیز، والسلام.» (رجوع شود به</w:t>
      </w:r>
      <w:r>
        <w:rPr>
          <w:rtl/>
        </w:rPr>
        <w:t xml:space="preserve"> </w:t>
      </w:r>
      <w:r>
        <w:rPr>
          <w:i/>
          <w:iCs/>
          <w:rtl/>
        </w:rPr>
        <w:t xml:space="preserve">مجلهٔ ارمغان</w:t>
      </w:r>
      <w:r>
        <w:rPr>
          <w:rtl/>
        </w:rPr>
        <w:t xml:space="preserve">، شماره ۸، سال دوازدهم، صفحات ۵۶۸ تا ۵۷۰).</w:t>
      </w:r>
    </w:p>
    <w:p>
      <w:pPr>
        <w:pStyle w:val="FootnoteText"/>
        <w:bidi/>
      </w:pPr>
      <w:r>
        <w:rPr>
          <w:rtl/>
        </w:rPr>
        <w:t xml:space="preserve">آنچه در اینجا جالب است این است که جمال‌الدین از تناسب تامّه صحبت می‌کند و نه از مساوات کامل و یا چیزی از این قبیل.</w:t>
      </w:r>
    </w:p>
    <w:p>
      <w:pPr>
        <w:pStyle w:val="FootnoteText"/>
        <w:bidi/>
      </w:pPr>
      <w:r>
        <w:rPr>
          <w:rtl/>
        </w:rPr>
        <w:t xml:space="preserve">بطور کلی، عدالتی که جمال‌الدین خواهان آن است آن قاعده‌ای است که به حفظ این تناسب طبقاتی بیانجامد نه به بر‌انداختن طبقات. </w:t>
      </w:r>
    </w:p>
  </w:footnote>
  <w:footnote w:id="211">
    <w:p>
      <w:pPr>
        <w:pStyle w:val="FootnoteText"/>
        <w:bidi/>
      </w:pPr>
      <w:r>
        <w:rPr>
          <w:rStyle w:val="FootnoteReference"/>
        </w:rPr>
        <w:footnoteRef/>
      </w:r>
      <w:r>
        <w:rPr>
          <w:rtl/>
        </w:rPr>
        <w:t xml:space="preserve"> </w:t>
      </w:r>
      <w:r>
        <w:rPr>
          <w:i/>
          <w:iCs/>
          <w:rtl/>
        </w:rPr>
        <w:t xml:space="preserve">نامه‌های سید جمال‌الدین اسدآبادی</w:t>
      </w:r>
      <w:r>
        <w:rPr>
          <w:rtl/>
        </w:rPr>
        <w:t xml:space="preserve">، صفحهٔ ۱۲۹. </w:t>
      </w:r>
    </w:p>
  </w:footnote>
  <w:footnote w:id="212">
    <w:p>
      <w:pPr>
        <w:pStyle w:val="FootnoteText"/>
        <w:bidi/>
      </w:pPr>
      <w:r>
        <w:rPr>
          <w:rStyle w:val="FootnoteReference"/>
        </w:rPr>
        <w:footnoteRef/>
      </w:r>
      <w:r>
        <w:rPr>
          <w:rtl/>
        </w:rPr>
        <w:t xml:space="preserve"> </w:t>
      </w:r>
      <w:r>
        <w:rPr>
          <w:i/>
          <w:iCs/>
          <w:rtl/>
        </w:rPr>
        <w:t xml:space="preserve">نامه‌های سید جمال‌الدین اسدآبادی</w:t>
      </w:r>
      <w:r>
        <w:rPr>
          <w:rtl/>
        </w:rPr>
        <w:t xml:space="preserve">، صفحات ۱۴۲ و ۱۴۳. ظاهراً کلمه دانشمندان ترجمه علما می‌باشد که در گذشته معمولاً به روحانیون اطلاق می‌شده.</w:t>
      </w:r>
    </w:p>
    <w:p>
      <w:pPr>
        <w:pStyle w:val="FootnoteText"/>
        <w:bidi/>
      </w:pPr>
      <w:r>
        <w:rPr>
          <w:rtl/>
        </w:rPr>
        <w:t xml:space="preserve">«اکنون که گروهی از عبرت‌بینان در این روزگار عنایتی بدان کرده‌اند، امیدواریم پادشاهان مسلمان و دانشمندان غیرتمند و حق دوست، این گروه را پشتیبانی کرده و در امر آنچه بجمع ایشان وحدت ببخشد و جدا مانده‌ها را گرد هم می‌آورد، اهمال نورزند. البتّه تجربه با بیانی که بر آن مزید نتوان کرد بدیشان آموخته است که این کاری دشوار نیست اگر که داعیان خود را بنزد کسانی که دور از ایشان مانده‌اند، گسیل کرده، دستهای آنانرا که متمایل به نزدیکی و آشنائیند، بفشرند، و از حالات بعضی در مورد آنچه، فایدتی بدین و ملتشان می‌رساند، یا بیم آن می‌رود که زیانی وارد کند، مطلع شوند. با همین عمل شریف البتّه ادای وظیفه‌ای کرده‌اند و سعادتی یافته‌اند.» (همان‌جا، صفحات ۱۳۰ و ۱۳۱). </w:t>
      </w:r>
    </w:p>
  </w:footnote>
  <w:footnote w:id="213">
    <w:p>
      <w:pPr>
        <w:pStyle w:val="FootnoteText"/>
        <w:bidi/>
      </w:pPr>
      <w:r>
        <w:rPr>
          <w:rStyle w:val="FootnoteReference"/>
        </w:rPr>
        <w:footnoteRef/>
      </w:r>
      <w:r>
        <w:rPr>
          <w:rtl/>
        </w:rPr>
        <w:t xml:space="preserve"> </w:t>
      </w:r>
      <w:r>
        <w:rPr>
          <w:rtl/>
        </w:rPr>
        <w:t xml:space="preserve">این انعکاس سیاسی همان امری است که جمال‌الدین را واداشت، بدون هدف بر‌انداختنِ واقعیِ فرق مختلف اسلام مابین آنها، در یک اساس عامّ و کلی، وحدت ایدئولوژیک را تأمین کند. در اینجا نیز وحدت سیاسی بر اساسی بسیار کلی و عامّ صورت می‌گیرد: جمال‌الدین بدون بر‌انداختن حکومتهای مختلف در سراسر قلمرو اسلامی، به حکومت واحد دلخواه خود دست می‌یابد. در اینجا باید اعتراف کرد که طرح جمال‌الدین در عین تخیلی بودن بسیار می‌کوشد فرصت‌طلب بوده خود را با امکانات موجود تطبیق دهد. اگر همین تقاضای محدود جمال‌الدین با این همه مراقبت وی در اینکه مبادا به منافع اساسی حکومت و یا طبقه حاکمه‌ای لطمه‌ای وارد شود، باز هم امروز در نظر ما تخیلی می‌نماید، علت را باید در موقعیت تاریخی‌– اجتماعی پایگاه اجتماعی او جستجو کرد: در واقع اوضاع و احوال جهان و وجود روابط استعماری چنان وضعیتی را بوجود آورده بود که هرگونه ابتکار عملی از بورژوازی لیبرال کشورهای مسلمان در مقابله با استعمار سلب شده بود. </w:t>
      </w:r>
    </w:p>
  </w:footnote>
  <w:footnote w:id="214">
    <w:p>
      <w:pPr>
        <w:pStyle w:val="FootnoteText"/>
        <w:bidi/>
      </w:pPr>
      <w:r>
        <w:rPr>
          <w:rStyle w:val="FootnoteReference"/>
        </w:rPr>
        <w:footnoteRef/>
      </w:r>
      <w:r>
        <w:rPr>
          <w:rtl/>
        </w:rPr>
        <w:t xml:space="preserve"> </w:t>
      </w:r>
      <w:r>
        <w:rPr>
          <w:i/>
          <w:iCs/>
          <w:rtl/>
        </w:rPr>
        <w:t xml:space="preserve">ترجمهٔ دو نامه از بزرگترین فیلسوف شرق سید جمال‌الدین</w:t>
      </w:r>
      <w:r>
        <w:rPr>
          <w:rtl/>
        </w:rPr>
        <w:t xml:space="preserve">، صفحات ۲ و ۸. </w:t>
      </w:r>
    </w:p>
  </w:footnote>
  <w:footnote w:id="215">
    <w:p>
      <w:pPr>
        <w:pStyle w:val="FootnoteText"/>
        <w:bidi/>
      </w:pPr>
      <w:r>
        <w:rPr>
          <w:rStyle w:val="FootnoteReference"/>
        </w:rPr>
        <w:footnoteRef/>
      </w:r>
      <w:r>
        <w:rPr>
          <w:rtl/>
        </w:rPr>
        <w:t xml:space="preserve"> </w:t>
      </w:r>
      <w:r>
        <w:rPr>
          <w:rtl/>
        </w:rPr>
        <w:t xml:space="preserve">همان‌جا، صفحات ۱۸ و ۱۹. </w:t>
      </w:r>
    </w:p>
  </w:footnote>
  <w:footnote w:id="217">
    <w:p>
      <w:pPr>
        <w:pStyle w:val="FootnoteText"/>
        <w:bidi/>
      </w:pPr>
      <w:r>
        <w:rPr>
          <w:rStyle w:val="FootnoteReference"/>
        </w:rPr>
        <w:footnoteRef/>
      </w:r>
      <w:r>
        <w:rPr>
          <w:rtl/>
        </w:rPr>
        <w:t xml:space="preserve"> </w:t>
      </w:r>
      <w:r>
        <w:rPr>
          <w:rtl/>
        </w:rPr>
        <w:t xml:space="preserve">در این قسمت دوم که موضوع عقاید جمال‌الدین مطرح است کوشش من این بوده است که مطالب خود را بر‌اساس آنچه که مستقیماً از خود او باقی مانده قرار دهم زیرا گفته‌های نویسندگان شرح حالِ جمال‌الدین را مخصوصاً در مورد عقاید او چندان قابل اعتماد نمی‌دانم. البتّه این بدان معنی نیست که در مورد چگونگی عقاید جمال‌الدین میان نویسندگان مختلف شرح حال او اختلاف زیادی موجود است. به خلاف جریان زندگی، در مورد عقاید جمال‌الدین به مناسبت وجود آثار کتبی به قلم خود او کمتر تفاوت در نوشته‌های نویسندگان مختلف دیده می‌شود. تنها تفاوتی که هست در نحوه بیان مطلب است، و در همین زمینه است که نویسندگان شرح حال جمال‌الدین معمولاً با لاابالی‌گری شاخ و برگهائی از خود می‌افزایند که فاقد دقت علمی است. </w:t>
      </w:r>
    </w:p>
  </w:footnote>
  <w:footnote w:id="218">
    <w:p>
      <w:pPr>
        <w:pStyle w:val="FootnoteText"/>
        <w:bidi/>
      </w:pPr>
      <w:r>
        <w:rPr>
          <w:rStyle w:val="FootnoteReference"/>
        </w:rPr>
        <w:footnoteRef/>
      </w:r>
      <w:r>
        <w:rPr>
          <w:rtl/>
        </w:rPr>
        <w:t xml:space="preserve"> </w:t>
      </w:r>
      <w:r>
        <w:rPr>
          <w:i/>
          <w:iCs/>
          <w:rtl/>
        </w:rPr>
        <w:t xml:space="preserve">نقش سید جمال‌الدین در بیداری مشرق زمین</w:t>
      </w:r>
      <w:r>
        <w:rPr>
          <w:rtl/>
        </w:rPr>
        <w:t xml:space="preserve">، صفحات ۲۴۸ و ۲۴۹. </w:t>
      </w:r>
    </w:p>
  </w:footnote>
  <w:footnote w:id="219">
    <w:p>
      <w:pPr>
        <w:pStyle w:val="FootnoteText"/>
        <w:bidi/>
      </w:pPr>
      <w:r>
        <w:rPr>
          <w:rStyle w:val="FootnoteReference"/>
        </w:rPr>
        <w:footnoteRef/>
      </w:r>
      <w:r>
        <w:rPr>
          <w:rtl/>
        </w:rPr>
        <w:t xml:space="preserve"> </w:t>
      </w:r>
      <w:r>
        <w:rPr>
          <w:i/>
          <w:iCs/>
          <w:rtl/>
        </w:rPr>
        <w:t xml:space="preserve">نقش سید جمال‌الدین در بیداری مشرق زمین</w:t>
      </w:r>
      <w:r>
        <w:rPr>
          <w:rtl/>
        </w:rPr>
        <w:t xml:space="preserve">، صفحات ۲۵۳ و ۲۵۴. </w:t>
      </w:r>
    </w:p>
  </w:footnote>
  <w:footnote w:id="220">
    <w:p>
      <w:pPr>
        <w:pStyle w:val="FootnoteText"/>
        <w:bidi/>
      </w:pPr>
      <w:r>
        <w:rPr>
          <w:rStyle w:val="FootnoteReference"/>
        </w:rPr>
        <w:footnoteRef/>
      </w:r>
      <w:r>
        <w:rPr>
          <w:rtl/>
        </w:rPr>
        <w:t xml:space="preserve"> </w:t>
      </w:r>
      <w:r>
        <w:rPr>
          <w:rtl/>
        </w:rPr>
        <w:t xml:space="preserve">با اینکه میرزا رضای کرمانی بدست خود ناصر‌الدین شاه را می‌کشد باز باید دانست که او واقعاً سلطنت‌طلب است و این امر از سراپای متن بازجوئی وی پیداست. </w:t>
      </w:r>
    </w:p>
  </w:footnote>
  <w:footnote w:id="221">
    <w:p>
      <w:pPr>
        <w:pStyle w:val="FootnoteText"/>
        <w:bidi/>
      </w:pPr>
      <w:r>
        <w:rPr>
          <w:rStyle w:val="FootnoteReference"/>
        </w:rPr>
        <w:footnoteRef/>
      </w:r>
      <w:r>
        <w:rPr>
          <w:rtl/>
        </w:rPr>
        <w:t xml:space="preserve"> </w:t>
      </w:r>
      <w:r>
        <w:rPr>
          <w:i/>
          <w:iCs/>
          <w:rtl/>
        </w:rPr>
        <w:t xml:space="preserve">تاریخ بیداری ایرانیان</w:t>
      </w:r>
      <w:r>
        <w:rPr>
          <w:rtl/>
        </w:rPr>
        <w:t xml:space="preserve">، جلد اول، صفحهٔ ۸۳. </w:t>
      </w:r>
    </w:p>
  </w:footnote>
  <w:footnote w:id="222">
    <w:p>
      <w:pPr>
        <w:pStyle w:val="FootnoteText"/>
        <w:bidi/>
      </w:pPr>
      <w:r>
        <w:rPr>
          <w:rStyle w:val="FootnoteReference"/>
        </w:rPr>
        <w:footnoteRef/>
      </w:r>
      <w:r>
        <w:rPr>
          <w:rtl/>
        </w:rPr>
        <w:t xml:space="preserve"> </w:t>
      </w:r>
      <w:r>
        <w:rPr>
          <w:i/>
          <w:iCs/>
          <w:rtl/>
        </w:rPr>
        <w:t xml:space="preserve">تاریخ بیداری ایرانیان</w:t>
      </w:r>
      <w:r>
        <w:rPr>
          <w:rtl/>
        </w:rPr>
        <w:t xml:space="preserve">، جلد اول، صفحهٔ ۹۰. </w:t>
      </w:r>
    </w:p>
  </w:footnote>
  <w:footnote w:id="223">
    <w:p>
      <w:pPr>
        <w:pStyle w:val="FootnoteText"/>
        <w:bidi/>
      </w:pPr>
      <w:r>
        <w:rPr>
          <w:rStyle w:val="FootnoteReference"/>
        </w:rPr>
        <w:footnoteRef/>
      </w:r>
      <w:r>
        <w:rPr>
          <w:rtl/>
        </w:rPr>
        <w:t xml:space="preserve"> </w:t>
      </w:r>
      <w:r>
        <w:rPr>
          <w:rtl/>
        </w:rPr>
        <w:t xml:space="preserve">در نهضت مشروطیت ایران هیچ چیز بیش از آنچه در اینجا جمال‌الدین و پیرو با وفای او میرزا رضا خواستار آنند تقاضا نمی‌شود. از اینجاست که برای درک هدفهای نهضت مشروطه، مطالعه عقاید جمال‌الدین بسیار ضروری است. </w:t>
      </w:r>
    </w:p>
  </w:footnote>
  <w:footnote w:id="225">
    <w:p>
      <w:pPr>
        <w:pStyle w:val="FootnoteText"/>
        <w:bidi/>
      </w:pPr>
      <w:r>
        <w:rPr>
          <w:rStyle w:val="FootnoteReference"/>
        </w:rPr>
        <w:footnoteRef/>
      </w:r>
      <w:r>
        <w:rPr>
          <w:rtl/>
        </w:rPr>
        <w:t xml:space="preserve"> </w:t>
      </w:r>
      <w:r>
        <w:rPr>
          <w:rtl/>
        </w:rPr>
        <w:t xml:space="preserve">رمز اینکه مشروطه‌خواهان ایران در نهضت مشروطه اینجا و آنجا نمونه ژاپن را مورد بررسی قرار می‌دادند و آن را سرمشق خود می‌دانستند در همین جاست. بورژوازی ژاپن توانست فئودالیسم خود را متقاعد کند که متحد با او بر‌ضدّ سلطه استعماری غرب مبارزه نماید و به همین دلیل هم این مبارزه تقریباً به آسانی به نتیجه رسید. ولی همین مشروطه‌خواهان با ساده‌اندیشی، تفاوت شرایط فئودالیسم ایران را که سالها بود تحت نفوذ و به مدد استعمار زندگی می‌کرد با فئودالیسم ژاپن که هرگز استعمار بر او دست نیافته بود، در نظر نمی‌گرفتند. </w:t>
      </w:r>
    </w:p>
  </w:footnote>
  <w:footnote w:id="226">
    <w:p>
      <w:pPr>
        <w:pStyle w:val="FootnoteText"/>
        <w:bidi/>
      </w:pPr>
      <w:r>
        <w:rPr>
          <w:rStyle w:val="FootnoteReference"/>
        </w:rPr>
        <w:footnoteRef/>
      </w:r>
      <w:r>
        <w:rPr>
          <w:rtl/>
        </w:rPr>
        <w:t xml:space="preserve"> </w:t>
      </w:r>
      <w:r>
        <w:rPr>
          <w:rtl/>
        </w:rPr>
        <w:t xml:space="preserve">جمال‌الدین در طول عمر خود چندین بار شاهد شکست عثمانی از استعمار غرب بود. </w:t>
      </w:r>
    </w:p>
  </w:footnote>
  <w:footnote w:id="227">
    <w:p>
      <w:pPr>
        <w:pStyle w:val="FootnoteText"/>
        <w:bidi/>
      </w:pPr>
      <w:r>
        <w:rPr>
          <w:rStyle w:val="FootnoteReference"/>
        </w:rPr>
        <w:footnoteRef/>
      </w:r>
      <w:r>
        <w:rPr>
          <w:rtl/>
        </w:rPr>
        <w:t xml:space="preserve"> </w:t>
      </w:r>
      <w:r>
        <w:rPr>
          <w:rtl/>
        </w:rPr>
        <w:t xml:space="preserve">دیدیم که در مقالهٔ «فلسفهٔ وحدت جنسیت و حقیقت اتّحاد لغت»، جمال‌الدین اقرار کرد که: «… وحدت لغت یعنی جنسیت در بقا و ثبات درین دار دنیا از وحدت در دین اودم است زیرا که در زمان قلیلی تغییر و تبدل نمی‌پذیرد…». </w:t>
      </w:r>
    </w:p>
  </w:footnote>
  <w:footnote w:id="228">
    <w:p>
      <w:pPr>
        <w:pStyle w:val="FootnoteText"/>
        <w:bidi/>
      </w:pPr>
      <w:r>
        <w:rPr>
          <w:rStyle w:val="FootnoteReference"/>
        </w:rPr>
        <w:footnoteRef/>
      </w:r>
      <w:r>
        <w:rPr>
          <w:rtl/>
        </w:rPr>
        <w:t xml:space="preserve"> </w:t>
      </w:r>
      <w:r>
        <w:rPr>
          <w:rtl/>
        </w:rPr>
        <w:t xml:space="preserve">علت انتخاب ایران آن است که برای خواننده ایرانی تعقیب مطالب آسان‌تر است و در عین حال در این مورد منابع بیشتری نیز در اختیار داریم. </w:t>
      </w:r>
    </w:p>
  </w:footnote>
  <w:footnote w:id="229">
    <w:p>
      <w:pPr>
        <w:pStyle w:val="FootnoteText"/>
        <w:bidi/>
      </w:pPr>
      <w:r>
        <w:rPr>
          <w:rStyle w:val="FootnoteReference"/>
        </w:rPr>
        <w:footnoteRef/>
      </w:r>
      <w:r>
        <w:rPr>
          <w:rtl/>
        </w:rPr>
        <w:t xml:space="preserve"> </w:t>
      </w:r>
      <w:r>
        <w:rPr>
          <w:rtl/>
        </w:rPr>
        <w:t xml:space="preserve">از</w:t>
      </w:r>
      <w:r>
        <w:rPr>
          <w:rtl/>
        </w:rPr>
        <w:t xml:space="preserve"> </w:t>
      </w:r>
      <w:r>
        <w:rPr>
          <w:i/>
          <w:iCs/>
          <w:rtl/>
        </w:rPr>
        <w:t xml:space="preserve">خاطرات امین‌الدوله از جمال‌الدین</w:t>
      </w:r>
      <w:r>
        <w:rPr>
          <w:rtl/>
        </w:rPr>
        <w:t xml:space="preserve">. </w:t>
      </w:r>
    </w:p>
  </w:footnote>
  <w:footnote w:id="230">
    <w:p>
      <w:pPr>
        <w:pStyle w:val="FootnoteText"/>
        <w:bidi/>
      </w:pPr>
      <w:r>
        <w:rPr>
          <w:rStyle w:val="FootnoteReference"/>
        </w:rPr>
        <w:footnoteRef/>
      </w:r>
      <w:r>
        <w:rPr>
          <w:rtl/>
        </w:rPr>
        <w:t xml:space="preserve"> </w:t>
      </w:r>
      <w:r>
        <w:rPr>
          <w:rtl/>
        </w:rPr>
        <w:t xml:space="preserve">در مورد حاج سیاح، میرزا رضای کرمانی در بازجوئی خود ضمن آنکه او را آدم «مذبذب و خود‌پرست» می‌خواند نیت اصلیش را چنین افشاء می‌کند: «… او ضمناً آب گل می‌کرد که برای ظل‌السطان ماهی بگیرد و خیالش این بود که بلکه ظل‌السطان شاه بشود و امین‌الدوله صدر‌اعظم و خودش مکنتی پیدا کند…»، «همان اوقات سه هزار تومان از ظل‌السطان به اسم سید جمال‌الدین گرفت نهصد تومان به سید داد و باقی را خودش خورد.»</w:t>
      </w:r>
      <w:r>
        <w:rPr>
          <w:rtl/>
        </w:rPr>
        <w:t xml:space="preserve"> </w:t>
      </w:r>
      <w:r>
        <w:rPr>
          <w:i/>
          <w:iCs/>
          <w:rtl/>
        </w:rPr>
        <w:t xml:space="preserve">(تاریخ بیداری ایرانیان</w:t>
      </w:r>
      <w:r>
        <w:rPr>
          <w:rtl/>
        </w:rPr>
        <w:t xml:space="preserve">، جلد اول، صفحهٔ ۸۴). </w:t>
      </w:r>
    </w:p>
  </w:footnote>
  <w:footnote w:id="233">
    <w:p>
      <w:pPr>
        <w:pStyle w:val="FootnoteText"/>
        <w:bidi/>
      </w:pPr>
      <w:r>
        <w:rPr>
          <w:rStyle w:val="FootnoteReference"/>
        </w:rPr>
        <w:footnoteRef/>
      </w:r>
      <w:r>
        <w:rPr>
          <w:rtl/>
        </w:rPr>
        <w:t xml:space="preserve"> </w:t>
      </w:r>
      <w:r>
        <w:rPr>
          <w:rtl/>
        </w:rPr>
        <w:t xml:space="preserve">البتّه نباید توقع داشت که جمال‌الدین کلمه «ملت» را دقیقا بمعنائی که ما امروز از آن استنباط می‌کنیم و جزء اصلی آن را طبقات مولّد جامعه می‌دانیم در‌نظر آورد.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031">
    <w:nsid w:val="0A992031"/>
    <w:multiLevelType w:val="multilevel"/>
    <w:lvl w:ilvl="0">
      <w:start w:val="31"/>
      <w:numFmt w:val="decimal"/>
      <w:lvlText w:val="%1."/>
      <w:lvlJc w:val="left"/>
      <w:pPr>
        <w:ind w:left="720" w:hanging="360"/>
      </w:pPr>
    </w:lvl>
    <w:lvl w:ilvl="1">
      <w:start w:val="31"/>
      <w:numFmt w:val="lowerLetter"/>
      <w:lvlText w:val="%2."/>
      <w:lvlJc w:val="left"/>
      <w:pPr>
        <w:ind w:left="1440" w:hanging="360"/>
      </w:pPr>
    </w:lvl>
    <w:lvl w:ilvl="2">
      <w:start w:val="31"/>
      <w:numFmt w:val="lowerRoman"/>
      <w:lvlText w:val="%3."/>
      <w:lvlJc w:val="left"/>
      <w:pPr>
        <w:ind w:left="2160" w:hanging="360"/>
      </w:pPr>
    </w:lvl>
    <w:lvl w:ilvl="3">
      <w:start w:val="31"/>
      <w:numFmt w:val="decimal"/>
      <w:lvlText w:val="%4."/>
      <w:lvlJc w:val="left"/>
      <w:pPr>
        <w:ind w:left="2880" w:hanging="360"/>
      </w:pPr>
    </w:lvl>
    <w:lvl w:ilvl="4">
      <w:start w:val="31"/>
      <w:numFmt w:val="lowerLetter"/>
      <w:lvlText w:val="%5."/>
      <w:lvlJc w:val="left"/>
      <w:pPr>
        <w:ind w:left="3600" w:hanging="360"/>
      </w:pPr>
    </w:lvl>
    <w:lvl w:ilvl="5">
      <w:start w:val="31"/>
      <w:numFmt w:val="lowerRoman"/>
      <w:lvlText w:val="%6."/>
      <w:lvlJc w:val="left"/>
      <w:pPr>
        <w:ind w:left="4320" w:hanging="360"/>
      </w:pPr>
    </w:lvl>
    <w:lvl w:ilvl="6">
      <w:start w:val="31"/>
      <w:numFmt w:val="decimal"/>
      <w:lvlText w:val="%7."/>
      <w:lvlJc w:val="left"/>
      <w:pPr>
        <w:ind w:left="5040" w:hanging="360"/>
      </w:pPr>
    </w:lvl>
    <w:lvl w:ilvl="7">
      <w:start w:val="31"/>
      <w:numFmt w:val="lowerLetter"/>
      <w:lvlText w:val="%8."/>
      <w:lvlJc w:val="left"/>
      <w:pPr>
        <w:ind w:left="5760" w:hanging="360"/>
      </w:pPr>
    </w:lvl>
    <w:lvl w:ilvl="8">
      <w:start w:val="3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31"/>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جمال‌الدین افغانی: جریان زندگی، محیط و فعالیتهای سیاسی و حیطهٔ عقاید او</dc:title>
  <dc:creator/>
  <dc:language>fa</dc:language>
  <cp:keywords/>
  <dcterms:created xsi:type="dcterms:W3CDTF">2026-06-20T20:40:29Z</dcterms:created>
  <dcterms:modified xsi:type="dcterms:W3CDTF">2026-06-20T20:40:29Z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