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این که مثلا بگوییم فرانسوی‌ها این جنگ را نمی‌خواستند و آمریکا به آنها تحمیل کرد، بهیچوجه با روند وقایع و شوق‌و‌شوری که هیأت حاکمه فرانسه و دستگاه‌های تبلیغاتی تحت کنترلش برای جنگ از خود نشان داد، تطبیق نمی‌کند. به اصطلاح ابتکارهای صلح میتران، نه تنها در جهت خلاف سیاست آمریکا نبود بلکه از نظر افکار عمومی، زمینه را برای اثبات این که صدام را جز با جنگ نمی‌توان سر جایش نشاند فراهم می‌کرد و اتفاقا این نوعى تقسیم نقش بود و کاری بود که اگر آمریکا آن را به تنهایی صورت میداد سوءظن افکار عمومی را بیشتر بر می‌انگیخت. پس از آغاز جنگ نیز هیأت حاکمه فرانسه تقریبا یکپارچه آن را تأیید کرد و اگر مخالفتی مثلا از طرف کسی مثل شُوِنمان صورت گرفت، اولا در مورد دامنه جنگ بود، ثانیا از این لحاظ تعداد مخالفان عملیات جنگی در هیأت حاکمه آمریکا خیلی بیشتر بود. </w:t>
      </w:r>
    </w:p>
  </w:footnote>
  <w:footnote w:id="10">
    <w:p>
      <w:pPr>
        <w:pStyle w:val="FootnoteText"/>
        <w:bidi/>
      </w:pPr>
      <w:r>
        <w:rPr>
          <w:rStyle w:val="FootnoteReference"/>
        </w:rPr>
        <w:footnoteRef/>
      </w:r>
      <w:r>
        <w:rPr>
          <w:rtl/>
        </w:rPr>
        <w:t xml:space="preserve"> </w:t>
      </w:r>
      <w:r>
        <w:rPr>
          <w:rtl/>
        </w:rPr>
        <w:t xml:space="preserve">اتفاقا، کشورهای غربی، بنا‌بر مصالح خود، اسرائیل را از مشارکت در جنگی که پیروزی در آن محرز بود باز‌داشتند. </w:t>
      </w:r>
    </w:p>
  </w:footnote>
  <w:footnote w:id="11">
    <w:p>
      <w:pPr>
        <w:pStyle w:val="FootnoteText"/>
        <w:bidi/>
      </w:pPr>
      <w:r>
        <w:rPr>
          <w:rStyle w:val="FootnoteReference"/>
        </w:rPr>
        <w:footnoteRef/>
      </w:r>
      <w:r>
        <w:rPr>
          <w:rtl/>
        </w:rPr>
        <w:t xml:space="preserve"> </w:t>
      </w:r>
      <w:r>
        <w:rPr>
          <w:rtl/>
        </w:rPr>
        <w:t xml:space="preserve">تقسیم بندی «شمال» و «جنوب» اگر بتواند کاربُردی داشته باشد همان است که معمولا در بررسی طراز پرداختهای بین‌المللی است. ولی قطب بندی جهان به «شمال» و «جنوب» و رها کردن معیار «استثمار» و قرار دادن معیار مبهم «توسعه» به جای آن کاری است که از همان آغاز، اشکالاتش آشکار است و مبتکران آن — مانند نویسنده مقاله — ناگزیرند در «شمال» به دنبال جنوب» و در «جنوب» به دنبال «شمال» بگردند. اصولاً ما در شرایطی هستیم که احتیاج داریم با وسواس و دقت بسیاری شرایط متغیر و اوضاع جدیدی را که بوجود آمده مورد بررسی قرار دهیم و صرفنظر از هیاهوهای تبلیغاتی بورژوازی در تمام زمینه‌ها، مخصوصا در زمینه تئوریک، ببینیم که چه صف بندی‌هایی از بین رفته و چه صف بندی‌های جدیدی بوجود آمده، چه وضعی تغییر کرده و چه وضع جدیدی ایجاد شده است. حال، اگر ما خود را در موقعیتی منفعل قرار دهیم و هر اصطلاحی را که بورژوازی برای توضیح شرایط جدید ضرب میزند بی‌درنگ بگیریم و حداکثر با یک «امّا» و «اگر» آن را بپذیریم، دیگر فرصت تحلیل مستقل برای خود باقی نمی‌گذاریم. </w:t>
      </w:r>
    </w:p>
  </w:footnote>
  <w:footnote w:id="12">
    <w:p>
      <w:pPr>
        <w:pStyle w:val="FootnoteText"/>
        <w:bidi/>
      </w:pPr>
      <w:r>
        <w:rPr>
          <w:rStyle w:val="FootnoteReference"/>
        </w:rPr>
        <w:footnoteRef/>
      </w:r>
      <w:r>
        <w:rPr>
          <w:rtl/>
        </w:rPr>
        <w:t xml:space="preserve"> </w:t>
      </w:r>
      <w:r>
        <w:rPr>
          <w:rtl/>
        </w:rPr>
        <w:t xml:space="preserve">پس از سال‌ها بحث در باره «بورژوازی ملّی»، «بورژوازی وابسته» و «بورژوازی کمپرادور» و غیره، این راه حلّ خوبی است که با به کار بردن اصطلاح «بورژوازی خودی» هم منظور خودمان را برسانیم و هم بحثهای پیچ‌در‌پیچ را دور بزنیم، تنها عیب کار (که ظاهرا عیب مهمی هم نیست!) این است که ماهیت این بورژوازی، یعنی این صاحب سرمایه و روابط اجتماعی او روشن نیست. </w:t>
      </w:r>
    </w:p>
  </w:footnote>
  <w:footnote w:id="13">
    <w:p>
      <w:pPr>
        <w:pStyle w:val="FootnoteText"/>
        <w:bidi/>
      </w:pPr>
      <w:r>
        <w:rPr>
          <w:rStyle w:val="FootnoteReference"/>
        </w:rPr>
        <w:footnoteRef/>
      </w:r>
      <w:r>
        <w:rPr>
          <w:rtl/>
        </w:rPr>
        <w:t xml:space="preserve"> </w:t>
      </w:r>
      <w:r>
        <w:rPr>
          <w:rtl/>
        </w:rPr>
        <w:t xml:space="preserve">بخشی از نتیجه در خود سؤال مستتِر است </w:t>
      </w:r>
    </w:p>
  </w:footnote>
  <w:footnote w:id="14">
    <w:p>
      <w:pPr>
        <w:pStyle w:val="FootnoteText"/>
        <w:bidi/>
      </w:pPr>
      <w:r>
        <w:rPr>
          <w:rStyle w:val="FootnoteReference"/>
        </w:rPr>
        <w:footnoteRef/>
      </w:r>
      <w:r>
        <w:rPr>
          <w:rtl/>
        </w:rPr>
        <w:t xml:space="preserve"> </w:t>
      </w:r>
      <w:r>
        <w:rPr>
          <w:rtl/>
        </w:rPr>
        <w:t xml:space="preserve">منظور از «نیروی توده‌ای» چیست؟ آیا منظور «جنبش خود‌بخودی توده‌ها»ست؟ و یا توده متشکّل شده توسط سازمان‌ها و احزاب؟ </w:t>
      </w:r>
    </w:p>
  </w:footnote>
  <w:footnote w:id="15">
    <w:p>
      <w:pPr>
        <w:pStyle w:val="FootnoteText"/>
        <w:bidi/>
      </w:pPr>
      <w:r>
        <w:rPr>
          <w:rStyle w:val="FootnoteReference"/>
        </w:rPr>
        <w:footnoteRef/>
      </w:r>
      <w:r>
        <w:rPr>
          <w:rtl/>
        </w:rPr>
        <w:t xml:space="preserve"> </w:t>
      </w:r>
      <w:r>
        <w:rPr>
          <w:rtl/>
        </w:rPr>
        <w:t xml:space="preserve">اتفاقا مانور بوش در فراخواندن «اپوزیسیون عراق» برای سرنگونی صدام و قول همه گونه کمک در این زمینه به آن باعث شد که این اپوزیسیون تا حدّی دست روی دست بگذارد و منتظر کمک آمریکا بنشیند؛ کمکی که هرگز نرسید. «اپوزیسیون عراق» تا بفهمد که وعده آمریکا توخالی بوده، فرصت تاریخی بزرگی را از دست داد. </w:t>
      </w:r>
    </w:p>
  </w:footnote>
  <w:footnote w:id="16">
    <w:p>
      <w:pPr>
        <w:pStyle w:val="FootnoteText"/>
        <w:bidi/>
      </w:pPr>
      <w:r>
        <w:rPr>
          <w:rStyle w:val="FootnoteReference"/>
        </w:rPr>
        <w:footnoteRef/>
      </w:r>
      <w:r>
        <w:rPr>
          <w:rtl/>
        </w:rPr>
        <w:t xml:space="preserve"> </w:t>
      </w:r>
      <w:r>
        <w:rPr>
          <w:rtl/>
        </w:rPr>
        <w:t xml:space="preserve">به این ترتیب، هم معیار‌های طبقاتی و اقتصادی در تشخیص تضادها کنار گذاشته می‌شود و هم روش‌های قهر آمیز (مقابله امثال شوروی و صدام به نظرم به این جهت انتخاب شده که حساسیت خواننده هرچه کمتر تحریک شود) و در عوض، راه مسالمت‌آمیز «مبارزة فرهنگی، فکری، انسانی» توصیه می‌شود. </w:t>
      </w:r>
    </w:p>
  </w:footnote>
  <w:footnote w:id="17">
    <w:p>
      <w:pPr>
        <w:pStyle w:val="FootnoteText"/>
        <w:bidi/>
      </w:pPr>
      <w:r>
        <w:rPr>
          <w:rStyle w:val="FootnoteReference"/>
        </w:rPr>
        <w:footnoteRef/>
      </w:r>
      <w:r>
        <w:rPr>
          <w:rtl/>
        </w:rPr>
        <w:t xml:space="preserve"> </w:t>
      </w:r>
      <w:r>
        <w:rPr>
          <w:rtl/>
        </w:rPr>
        <w:t xml:space="preserve">یعنی چگونه باید باشد تا «بهتر» باشد؟ آیا ترکیب طبقاتی آن دموکراسی باید با این دموکراسی فرق کند؟ یا با همین ترکیب طبقاتی، اصلاحاتی در آن صورت گیرد؟ به هر‌حال، کلمه «بهتر» جنبه علمی و دقیق ندارد. </w:t>
      </w:r>
    </w:p>
  </w:footnote>
  <w:footnote w:id="18">
    <w:p>
      <w:pPr>
        <w:pStyle w:val="FootnoteText"/>
        <w:bidi/>
      </w:pPr>
      <w:r>
        <w:rPr>
          <w:rStyle w:val="FootnoteReference"/>
        </w:rPr>
        <w:footnoteRef/>
      </w:r>
      <w:r>
        <w:rPr>
          <w:rtl/>
        </w:rPr>
        <w:t xml:space="preserve"> </w:t>
      </w:r>
      <w:r>
        <w:rPr>
          <w:rtl/>
        </w:rPr>
        <w:t xml:space="preserve">منظور از «کیفیت برتر» چیست؟ «برتر» از چه؟ آیا منظور انسانی است انقلابی؟ یا انسانی است درس خوانده و صاحب فنّ؟ </w:t>
      </w:r>
    </w:p>
  </w:footnote>
  <w:footnote w:id="19">
    <w:p>
      <w:pPr>
        <w:pStyle w:val="FootnoteText"/>
        <w:bidi/>
      </w:pPr>
      <w:r>
        <w:rPr>
          <w:rStyle w:val="FootnoteReference"/>
        </w:rPr>
        <w:footnoteRef/>
      </w:r>
      <w:r>
        <w:rPr>
          <w:rtl/>
        </w:rPr>
        <w:t xml:space="preserve"> </w:t>
      </w:r>
      <w:r>
        <w:rPr>
          <w:rtl/>
        </w:rPr>
        <w:t xml:space="preserve">معادل گرفتن «انسان شایسته بقاء» با «انسان سوسیالیست» بیشتر جنبه ادبی دارد تا علمی. </w:t>
      </w:r>
    </w:p>
  </w:footnote>
  <w:footnote w:id="20">
    <w:p>
      <w:pPr>
        <w:pStyle w:val="FootnoteText"/>
        <w:bidi/>
      </w:pPr>
      <w:r>
        <w:rPr>
          <w:rStyle w:val="FootnoteReference"/>
        </w:rPr>
        <w:footnoteRef/>
      </w:r>
      <w:r>
        <w:rPr>
          <w:rtl/>
        </w:rPr>
        <w:t xml:space="preserve"> </w:t>
      </w:r>
      <w:r>
        <w:rPr>
          <w:rtl/>
        </w:rPr>
        <w:t xml:space="preserve">نه فلسطینی‌ها از ویت‌گنگها بی‌سوادترند و نه اسرائیلی‌ها از آمریکایی‌ها باسوادتر. وارد کردن معیار «تحصیلات دانشگاهی» برای ارزیابی شیوه مبارزه، کار تازه‌ای است. </w:t>
      </w:r>
    </w:p>
  </w:footnote>
  <w:footnote w:id="21">
    <w:p>
      <w:pPr>
        <w:pStyle w:val="FootnoteText"/>
        <w:bidi/>
      </w:pPr>
      <w:r>
        <w:rPr>
          <w:rStyle w:val="FootnoteReference"/>
        </w:rPr>
        <w:footnoteRef/>
      </w:r>
      <w:r>
        <w:rPr>
          <w:rtl/>
        </w:rPr>
        <w:t xml:space="preserve"> </w:t>
      </w:r>
      <w:r>
        <w:rPr>
          <w:rtl/>
        </w:rPr>
        <w:t xml:space="preserve">خود، در جایی دیگر، در محکوم کردن دیگران، مینویسد: «وانمود می‌کنند تلاش‌هایی که برای مقابله با سرمایه‌داری بکار رفته خیالی بیش نبوده»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مقاله «در حاشیه جنگ خلیج و رابطه آن با نظم جدید»، نوشته تراب حق شناس</dc:title>
  <dc:creator/>
  <dc:language>fa</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