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سرمایه‌داری وابسته برحسب شرایط می‌تواند مفاد قوانین آریامهری را به صورت آیه از آسمان نازل کند. هاشمی رفسنجانی در خطبه یکی از نمازهای جمعه در اردیبهشت ماه ۶۱ آیه‌ای را پیدا کرد و در آن کلمه «اَنفال» را عیناً مانند قانون آریامهری شامل آب‌ها، جنگل‌ها، مراتع، زمین‌های کنار دریا و غیره دانست و چنین توضیح داد که همه اینها طبق «فرمان قرآن» در اختیار حکومت اسلام قرار دارد و این حکومت می‌تواند طبق مصالح، بهره‌برداری از آنرا به هر کس که بخواهد واگذار کند. این اسلامِ هاشمی رفسنجانی، یا دقیق‌تر بگوئیم این اسلام امپریالیستی و بورژوازی وابسته، با اسلامی که می‌گفت زمین موات به کسی تعلق دارد که آنرا احیاء کند و صحبتی از «حکومت اسلام» به میان نمی‌آورد، تفاوت بسیار دارد. </w:t>
      </w:r>
    </w:p>
  </w:footnote>
  <w:footnote w:id="12">
    <w:p>
      <w:pPr>
        <w:pStyle w:val="FootnoteText"/>
        <w:bidi/>
      </w:pPr>
      <w:r>
        <w:rPr>
          <w:rStyle w:val="FootnoteReference"/>
        </w:rPr>
        <w:footnoteRef/>
      </w:r>
      <w:r>
        <w:rPr>
          <w:rtl/>
        </w:rPr>
        <w:t xml:space="preserve"> </w:t>
      </w:r>
      <w:r>
        <w:rPr>
          <w:rtl/>
        </w:rPr>
        <w:t xml:space="preserve">اینها دیگر در غم ملّی ماندن نبودند و فرار به روستا نیز چنین خصلتی را برای آنها حفظ نمی‌کرد. فقط مسئله بر سر یافتن حوزه‌ای برای کار بود. </w:t>
      </w:r>
    </w:p>
  </w:footnote>
  <w:footnote w:id="13">
    <w:p>
      <w:pPr>
        <w:pStyle w:val="FootnoteText"/>
        <w:bidi/>
      </w:pPr>
      <w:r>
        <w:rPr>
          <w:rStyle w:val="FootnoteReference"/>
        </w:rPr>
        <w:footnoteRef/>
      </w:r>
      <w:r>
        <w:rPr>
          <w:rtl/>
        </w:rPr>
        <w:t xml:space="preserve"> </w:t>
      </w:r>
      <w:r>
        <w:rPr>
          <w:rtl/>
        </w:rPr>
        <w:t xml:space="preserve">دهقان مرفهی را می‌توان دید که مثلاً با پولی که فرزندانش در کویت به دست آورده‌اند قادر شده است قطعه زمین خود را گسترش داده، به کمک کارگران کشاورزی آنرا کشت کند و یا دهقان مرفهی را می‌توان در نظر گرفت که از طریق اجاره دادن تراکتور یا سایر ماشین آلات کشاورزی درآمدی کسب کرده و از طریق آن تولید خود را رونق بخشیده است. </w:t>
      </w:r>
    </w:p>
  </w:footnote>
  <w:footnote w:id="14">
    <w:p>
      <w:pPr>
        <w:pStyle w:val="FootnoteText"/>
        <w:bidi/>
      </w:pPr>
      <w:r>
        <w:rPr>
          <w:rStyle w:val="FootnoteReference"/>
        </w:rPr>
        <w:footnoteRef/>
      </w:r>
      <w:r>
        <w:rPr>
          <w:rtl/>
        </w:rPr>
        <w:t xml:space="preserve"> </w:t>
      </w:r>
      <w:r>
        <w:rPr>
          <w:rtl/>
        </w:rPr>
        <w:t xml:space="preserve">امروز دولت به بهانه جنگ و کمبود مواد مصرفی، توزیع این مواد را در کنترل خود درآورده و هنوز مشخص نیست که چه زمان این کنترل به پایان خواهد رسید ولی بعید است که دولت رضایت دهد به طور کامل وضع به صورت اول برگردد و احتمالاً سعی خواهد کرد پاره‌ای از حوزه هائی از اقتصاد را که به بهانه جنگ به تصرّف خود درآورده، بنحوی برای خود حفظ کند. در این صورت خانه خرابی کامل خرده‌بورژوازی روستا محرز است. </w:t>
      </w:r>
    </w:p>
  </w:footnote>
  <w:footnote w:id="16">
    <w:p>
      <w:pPr>
        <w:pStyle w:val="FootnoteText"/>
        <w:bidi/>
      </w:pPr>
      <w:r>
        <w:rPr>
          <w:rStyle w:val="FootnoteReference"/>
        </w:rPr>
        <w:footnoteRef/>
      </w:r>
      <w:r>
        <w:rPr>
          <w:rtl/>
        </w:rPr>
        <w:t xml:space="preserve"> </w:t>
      </w:r>
      <w:r>
        <w:rPr>
          <w:rtl/>
        </w:rPr>
        <w:t xml:space="preserve">این بخش از خرده‌بورژوازی در واقع در سراسر کشور پراکنده است. ولی چون مرکز اصلی آن در شهر است، آنرا زیر عنوان خرده‌بورژوازی شهری مطالعه می‌کنیم. </w:t>
      </w:r>
    </w:p>
  </w:footnote>
  <w:footnote w:id="17">
    <w:p>
      <w:pPr>
        <w:pStyle w:val="FootnoteText"/>
        <w:bidi/>
      </w:pPr>
      <w:r>
        <w:rPr>
          <w:rStyle w:val="FootnoteReference"/>
        </w:rPr>
        <w:footnoteRef/>
      </w:r>
      <w:r>
        <w:rPr>
          <w:rtl/>
        </w:rPr>
        <w:t xml:space="preserve"> </w:t>
      </w:r>
      <w:r>
        <w:rPr>
          <w:rtl/>
        </w:rPr>
        <w:t xml:space="preserve">اکثریت قریب به اتفاق خُرده بورژواهائی که در سال‌های ۴۲ و ۴۱ برعلیه رژیم شاه قیام کردند، امروز در صحنه نیستند. آنها یا به پرولتاریا پیوستند و یا شیوه سنتی کار خود را رها کرده آنرا با شرایط جدید تطبیق دادند و بعضی حتّی به خرده‌بورژوازی وابسته پیوستند. کار تحلیل‌گرانی که با توسل به مقوله «خرده‌ بورژوازی سنتی» سعی می‌کردند ادا و اطوارهای نواستعماری رژیم جدید را تبیین یا بهتر بگوئیم توجیه کننـد، بیشتـر بـه کـار رمّالانـی می‌ماند که به احضار روح مُردگان می‌پردازند تا ازآنها راه حلّ مشکلات زندگان را جویا شوند. </w:t>
      </w:r>
    </w:p>
  </w:footnote>
  <w:footnote w:id="18">
    <w:p>
      <w:pPr>
        <w:pStyle w:val="FootnoteText"/>
        <w:bidi/>
      </w:pPr>
      <w:r>
        <w:rPr>
          <w:rStyle w:val="FootnoteReference"/>
        </w:rPr>
        <w:footnoteRef/>
      </w:r>
      <w:r>
        <w:rPr>
          <w:rtl/>
        </w:rPr>
        <w:t xml:space="preserve"> </w:t>
      </w:r>
      <w:r>
        <w:rPr>
          <w:rtl/>
        </w:rPr>
        <w:t xml:space="preserve">اینجا بحث بر سر استفاده از سرمایه‌های رشته‌های سنتی و یا تغییر شکل خرده‌بورژوازی سنتی نیست بلکه بحث بر سر ایجاد آن شبکه وسیعی از خرده‌بورژوازی است که در شرایط غیبت روابط بورژواییِ گسترده می‌بایست به هر حال امکان نفوذ و گسترش این بورژوازی را فراهم کند. مثلاً ورود اتومبیل به بازارهای ایران در شرایطی که هنوز شرکت‌های وارد کننده در وضعیتی نبودند که بتوانند در کشور شبکه تعمیرگاه‌های وابسته به شرکت اصلی را بوجود آورند، خیل بزرگی از خرده‌بورژواها را بوجود آورد که به انحاء گوناگون با تعمیر اتومبیل و برآوردن نیاز‌های ناشی از استفاده از اتومبیل در ارتباط بودند. پس اینجا اساساً بحث بر سر استفاده از سرمایه‌ها و یا خرده‌بورژوازی سنتی شهرها نیست، گرچه ممکن است در پاره‌ای موارد این انتقال سرمایه‌ها و یا استحاله خرده‌بورژوازی سنتی نیز صورت گرفته باشد. ولی دامنه این رشد خرده‌بورژوازی بسیار وسیع‌تر و سرعت آن بسیار بیشتر از قدرت انطباق سرمایه‌ها و خرده‌بورژوازی سنتی شهری با شرایط جدید است. </w:t>
      </w:r>
    </w:p>
  </w:footnote>
  <w:footnote w:id="19">
    <w:p>
      <w:pPr>
        <w:pStyle w:val="FootnoteText"/>
        <w:bidi/>
      </w:pPr>
      <w:r>
        <w:rPr>
          <w:rStyle w:val="FootnoteReference"/>
        </w:rPr>
        <w:footnoteRef/>
      </w:r>
      <w:r>
        <w:rPr>
          <w:rtl/>
        </w:rPr>
        <w:t xml:space="preserve"> </w:t>
      </w:r>
      <w:r>
        <w:rPr>
          <w:rtl/>
        </w:rPr>
        <w:t xml:space="preserve">رشد خرده‌بورژوازی در بخش خدمات یکی از خصوصیات تکامل امپریالیسم است که در کشور ما مخصوصاً به صورت رشد بوروکراسی دولتی خود را نشان می‌دهد. </w:t>
      </w:r>
    </w:p>
  </w:footnote>
  <w:footnote w:id="20">
    <w:p>
      <w:pPr>
        <w:pStyle w:val="FootnoteText"/>
        <w:bidi/>
      </w:pPr>
      <w:r>
        <w:rPr>
          <w:rStyle w:val="FootnoteReference"/>
        </w:rPr>
        <w:footnoteRef/>
      </w:r>
      <w:r>
        <w:rPr>
          <w:rtl/>
        </w:rPr>
        <w:t xml:space="preserve"> </w:t>
      </w:r>
      <w:r>
        <w:rPr>
          <w:rtl/>
        </w:rPr>
        <w:t xml:space="preserve">در اینجا بحث بر سر افرادی است که در بوروکراسی و ارتش مشغول کارند والا کل سازمان و سیستم بوروکراسی و ارتش به عنوان ابزارهای سلطه وسرکوب امپریالیسم در جامعه ما نقش ویژه خود را بعهده دارند و انقلاب نیز بدون در هم شکستن آنها به پیروزی نخواهد رسید. </w:t>
      </w:r>
    </w:p>
  </w:footnote>
  <w:footnote w:id="21">
    <w:p>
      <w:pPr>
        <w:pStyle w:val="FootnoteText"/>
        <w:bidi/>
      </w:pPr>
      <w:r>
        <w:rPr>
          <w:rStyle w:val="FootnoteReference"/>
        </w:rPr>
        <w:footnoteRef/>
      </w:r>
      <w:r>
        <w:rPr>
          <w:rtl/>
        </w:rPr>
        <w:t xml:space="preserve"> </w:t>
      </w:r>
      <w:r>
        <w:rPr>
          <w:rtl/>
        </w:rPr>
        <w:t xml:space="preserve">وقتی ما از «ضدامپریالیست» بودن سخن می‌گوئیم، بدیهی است که آنرا در معنای بسیار وسیع خود یعنی در تمام شرایط اجتماعی و اقتصادی داخلی و بین‌المللی در نظر می‌آوریم. اینکه خرده‌بورژوازی شهری طبیعتا در صف نیروهای ضدامپریالیست قرار دارد به این معنی نیست که این مبارزه را با تمام محتوایش درک می‌کند و همانطور که ما در اینجا نشان داده‌ایم او در حدّی که شرایط زندگیش به وی ا جازه می‌دهد این مبارزه را می‌فهمد و انجام می‌دهد. اساساً اگر خرده‌بورژوازی تمام محتوای مبارزه ضدّ‌امپریالیستی را می‌فهمید، دیگر این درست نبود که بگوئیم جنبش ضدامپریالیستی بدون رهبری و هژمونی پرولتاریا به پیروزی نهائی نمی‌رسد. یک مطلب دیگر را نیز در اینجا اضافه کنیم: گاه چنین فرض می‌شود که گویا نهضت در دوران شاه تحت هژمونی و رهبری این خرده‌بورژوازی بود و در نتیجه تمام کارهائی را که توده‌های قیام کننده در طی مبارزه انجام دادند، به حساب برداشت خرده‌بورژوازی از مبارزه ضدامپریالیستی می‌گذارند در حالی که هیچ چیز از این اشتباه آمیزتر نیست. خرده‌بورژوازی شهری نیز مانند سایر طبقات بطور خود‌بخودی و بدون سازمان ویژه خود به نهضت کشیده شد و کارهائی که جنبش در این مدت به آن دست زد، برآیندی بود از اَعمال تمام طبقات و قشرهای شرکت کننده در جنبش که همه تقریباً بدون سازمان و آگاهی طبقاتی ویژه خویش و تحت فشار شرایط عمل می‌کردند. </w:t>
      </w:r>
    </w:p>
  </w:footnote>
  <w:footnote w:id="22">
    <w:p>
      <w:pPr>
        <w:pStyle w:val="FootnoteText"/>
        <w:bidi/>
      </w:pPr>
      <w:r>
        <w:rPr>
          <w:rStyle w:val="FootnoteReference"/>
        </w:rPr>
        <w:footnoteRef/>
      </w:r>
      <w:r>
        <w:rPr>
          <w:rtl/>
        </w:rPr>
        <w:t xml:space="preserve"> </w:t>
      </w:r>
      <w:r>
        <w:rPr>
          <w:rtl/>
        </w:rPr>
        <w:t xml:space="preserve">شعار «مرگ بر امپریالیسم» یا «مرگ بر آمریکا» نزد اینها محتوای بسیار محدودی دارد و در واقع تابع شعارهائی مثل «مرگ بر شاه» و «مرگ بر خمینی» است. آنها در وجود امپریالیسم یا آمریکا حداکثر نوعی حمایت مکانیکی و فیزیکی خارجی برای حکومت موجود می‌بینند. آنها امپریالیسم آمریکا را در روابط اقتصادی و اجتماعی نظام سرمایه‌داری وابسته به امپریالیسم نمی‌بینند و به همین جهت هم با سرنگون شدن یک رژیم حکومتی، سقوط امپریالیسم را هم فرض می‌گیرند و همین کوته‌نظری به امپریالیسم امکان می‌دهد تا با استفاده از این توهّم و با فریب آنها، رژیم جدیدی را در میان کف زدن‌های این طبقه سرهم بندی کند و باز این طبقه وقتی بخود می‌آید که رژیم جدید گلویش را می‌فشارد. آنگاه برای حفظ غرور ضربه خورده خود مدعی میشود، آن کف زدن‌ها گویا تاکتیک بوده است. </w:t>
      </w:r>
    </w:p>
  </w:footnote>
  <w:footnote w:id="23">
    <w:p>
      <w:pPr>
        <w:pStyle w:val="FootnoteText"/>
        <w:bidi/>
      </w:pPr>
      <w:r>
        <w:rPr>
          <w:rStyle w:val="FootnoteReference"/>
        </w:rPr>
        <w:footnoteRef/>
      </w:r>
      <w:r>
        <w:rPr>
          <w:rtl/>
        </w:rPr>
        <w:t xml:space="preserve"> </w:t>
      </w:r>
      <w:r>
        <w:rPr>
          <w:rtl/>
        </w:rPr>
        <w:t xml:space="preserve">بحث بر سر غلط بودن این شعارها نیست. این شعارها به جای خود و در حدّ خود صحیح است. جا و حدّ این شعارها را باید دقیقا در نظر داشت. شعار «مرگ بر شاه» در مرحله‌ای از مبارزه ضدامپریالیستی صحیح بود، به شرطی که سر سپردگی شاه به امپریالیسم در آن به خوبی نشان داده می‌شد. همین طور است وضع سایر شعارها. این شعارها می‌تواند بخشی از شعارهای یک مرحله باشد نه همه آنها و تفاوت محتوای این شعارها نزد پرولتاریا با همین شعارها نزد خرده‌بورژوازی از همین جا ناشی می‌شود. </w:t>
      </w:r>
    </w:p>
  </w:footnote>
  <w:footnote w:id="24">
    <w:p>
      <w:pPr>
        <w:pStyle w:val="FootnoteText"/>
        <w:bidi/>
      </w:pPr>
      <w:r>
        <w:rPr>
          <w:rStyle w:val="FootnoteReference"/>
        </w:rPr>
        <w:footnoteRef/>
      </w:r>
      <w:r>
        <w:rPr>
          <w:rtl/>
        </w:rPr>
        <w:t xml:space="preserve"> </w:t>
      </w:r>
      <w:r>
        <w:rPr>
          <w:rtl/>
        </w:rPr>
        <w:t xml:space="preserve">رژیم جدیداینها را مسلّح کرده و ما امروز شاهد آن هستیم که اینها علناً و جلوی چشم مردم اسلحه‌شان را می‌کشند و گاه هم جلوی چشم همه آدم می‌کشند. </w:t>
      </w:r>
    </w:p>
  </w:footnote>
  <w:footnote w:id="25">
    <w:p>
      <w:pPr>
        <w:pStyle w:val="FootnoteText"/>
        <w:bidi/>
      </w:pPr>
      <w:r>
        <w:rPr>
          <w:rStyle w:val="FootnoteReference"/>
        </w:rPr>
        <w:footnoteRef/>
      </w:r>
      <w:r>
        <w:rPr>
          <w:rtl/>
        </w:rPr>
        <w:t xml:space="preserve"> </w:t>
      </w:r>
      <w:r>
        <w:rPr>
          <w:rtl/>
        </w:rPr>
        <w:t xml:space="preserve">وقتی کلمه «لمپن» را بکار می‌بریم، منظورمان دقیقا افرادی است که به دلائل گوناگون از درون طبقات بیرون افکنده شده و به اصطلاح افراد بی‌طبقه را تشکیل می‌دهند. لازم نیست که حتما لمپن‌ها از افراد فقیر و فاقد درآمد و احیاناً بی‌سواد یا کم سواد باشند. نظامِ به سرعت در حال تحوّل ایران در بیست سال اخیر اتفاقاً انبوهی از لمپن‌ها را ارائه کرد که از طبقات بالای جامعه نیز می‌آمدند. لمپن‌های ایران نه تنها در خیابان‌های شهرهای بزرگ ایران به ولگردی مشغول بودند بلکه عده‌ای از «متشخص»‌ترین آنها در خیابان‌های شهرهای بزرگ کشورهای اروپا و آمریکا به ولگردی مشغول بودند و علاوه بر یک هواپیمائی که از این لمپن‌ها همراه خمینی به ایران وارد شد، صدها نفر دیگر به وسائل گوناگون به پای‌بوس رژیم جدید به وطن باز‌گشتند و اکثر پُست‌های حساس خرده‌بورژوازی وابسته را همین به اصطلاح «دکتر» و «مهندس»‌های خارج دیده اشغال کردند.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خرده‌بورژوازی و نقش آن در انقلاب</dc:title>
  <dc:creator/>
  <dc:language>fa</dc:language>
  <cp:keywords/>
  <dcterms:created xsi:type="dcterms:W3CDTF">2026-06-20T20:40:32Z</dcterms:created>
  <dcterms:modified xsi:type="dcterms:W3CDTF">2026-06-20T20:40:32Z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