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البته از آنجا که «کار» هيچوقت مصداقی برای «بورژوازی ليبرال» معرفی نکرده و صرفاً از اشخاص بورژوا-ليبرال نام برده است، شايد اين مطلب آنقدرها دقيق نباشد و ما فقط از روی وابستگی افراد فوق‌الذکر به جريانات مذکور اين نتيجه را گرفتيم. بالاخره گردانندگان «کار» بايد خود روشن کنند حداقل «بورژوازی ليبرال» در کدام حزب، ارگان، مؤسسه متشکل است. يا اصلاً با وجود «دشمن عمده» بودن خود، آنقدر ضعيف است که متشکل نيست!! </w:t>
      </w:r>
    </w:p>
  </w:footnote>
  <w:footnote w:id="10">
    <w:p>
      <w:pPr>
        <w:pStyle w:val="FootnoteText"/>
        <w:bidi/>
      </w:pPr>
      <w:r>
        <w:rPr>
          <w:rStyle w:val="FootnoteReference"/>
        </w:rPr>
        <w:footnoteRef/>
      </w:r>
      <w:r>
        <w:rPr>
          <w:rtl/>
        </w:rPr>
        <w:t xml:space="preserve"> </w:t>
      </w:r>
      <w:r>
        <w:rPr>
          <w:rtl/>
        </w:rPr>
        <w:t xml:space="preserve">نماينده به‌اصطلاح فدائيان در اين ميزگرد گفت: «چارچوب برنامه‌ای که بايد مورد توافق نيروهای مترقی و انقلابی و ضدامپرياليست !! (به زعم او همان نيروهای اسم‌برده شده) قرار بگيرد، به اين شکل سازمان ما خلاصه می‌کند که در رأس آن همه آن خواست‌ها و اهداف که ما بايد برای رسيدن به آن متحد شويم، استقلال قرار دارد ….. مردم را، «به استقلال برسانيم، آنها را به آزادی برسانيم، برای آنها کار پيدا کنيم.» (نقل از اطلاعات ۲۳ ارديبهشت ۵۹) تأکيد از ماست. </w:t>
      </w:r>
    </w:p>
  </w:footnote>
  <w:footnote w:id="11">
    <w:p>
      <w:pPr>
        <w:pStyle w:val="FootnoteText"/>
        <w:bidi/>
      </w:pPr>
      <w:r>
        <w:rPr>
          <w:rStyle w:val="FootnoteReference"/>
        </w:rPr>
        <w:footnoteRef/>
      </w:r>
      <w:r>
        <w:rPr>
          <w:rtl/>
        </w:rPr>
        <w:t xml:space="preserve"> </w:t>
      </w:r>
      <w:r>
        <w:rPr>
          <w:rtl/>
        </w:rPr>
        <w:t xml:space="preserve">آنها حتی اين ضرب‌الـمثل خلق را نمی‌دانند که : نيش عقرب نه از ره کين است، اقتضای طبيعتش اين است. </w:t>
      </w:r>
    </w:p>
  </w:footnote>
  <w:footnote w:id="12">
    <w:p>
      <w:pPr>
        <w:pStyle w:val="FootnoteText"/>
        <w:bidi/>
      </w:pPr>
      <w:r>
        <w:rPr>
          <w:rStyle w:val="FootnoteReference"/>
        </w:rPr>
        <w:footnoteRef/>
      </w:r>
      <w:r>
        <w:rPr>
          <w:rtl/>
        </w:rPr>
        <w:t xml:space="preserve"> </w:t>
      </w:r>
      <w:r>
        <w:rPr>
          <w:rtl/>
        </w:rPr>
        <w:t xml:space="preserve">خلخالـی بعد از اين کشتارها به‌عنوان منفورترين عضو حکومت شناخته شد. امروز رژيم جمهوری اسلامی برای تبرئه او و تعديل نفرت خلق، مسئوليت مبارزه با قاچاقچيان مواد مخدر را به او سپرده تا چنان وانمود شود که تمام انقلابيون و مبارزينی که به دست او کشتار شده‌اند، از قماش قاچاقچيان هستند. </w:t>
      </w:r>
    </w:p>
  </w:footnote>
  <w:footnote w:id="13">
    <w:p>
      <w:pPr>
        <w:pStyle w:val="FootnoteText"/>
        <w:bidi/>
      </w:pPr>
      <w:r>
        <w:rPr>
          <w:rStyle w:val="FootnoteReference"/>
        </w:rPr>
        <w:footnoteRef/>
      </w:r>
      <w:r>
        <w:rPr>
          <w:rtl/>
        </w:rPr>
        <w:t xml:space="preserve"> </w:t>
      </w:r>
      <w:r>
        <w:rPr>
          <w:rtl/>
        </w:rPr>
        <w:t xml:space="preserve">از همان روزهای اول بعد از استقرار رژيم جمهوری اسلامی، تمام نيروها از گردانندگان «کار» می‌خواستند مواضع خود را نسبت به حکومت اعلام دارند ولـی آنها هر بار از اين‌کار سر باز می‌زدند و زمانی هم که در نوشته‌جاتشان مشخص شد حکومت را ملـی و از آن خلق می‌دانند، حتی در صحبتهای شفاهی برای هواداران خود نيز از ابراز صريح آن سر باز می‌زدند. اکنون به دروغ می‌گويند: «ما بارها گفته بوديم … وابسته نيست.» حتماً هنگامی که به‌طور رسمی مواضع خود را در مورد مشی چريکهای فدائی خلق بيان می‌کنند، از چنين کلماتی استفاده خواهند کرد، ولـی جالب است، حتی اکنون نيز که بنا به مصالحـی مجبور به بيان «صريح» مواضع خود در مورد حکومت شده‌اند، هنوز جرأت نمی‌کنند بگويند حکومت ملـی و خلقـی است بلکه می‌گويند: «همانطور که بارها گفته‌ايم …… وابسته نيست.» ممکن است تعجب کنيد و بگوئيد مگر اين دو چه فرقی با هم دارند، ولـی ما که از بی‌پرنسيپی بيکران آنها مطلعيم، می‌دانيم که آنها چرا صرفاً می‌گويند «وابسته نيست.» </w:t>
      </w:r>
    </w:p>
  </w:footnote>
  <w:footnote w:id="14">
    <w:p>
      <w:pPr>
        <w:pStyle w:val="FootnoteText"/>
        <w:bidi/>
      </w:pPr>
      <w:r>
        <w:rPr>
          <w:rStyle w:val="FootnoteReference"/>
        </w:rPr>
        <w:footnoteRef/>
      </w:r>
      <w:r>
        <w:rPr>
          <w:rtl/>
        </w:rPr>
        <w:t xml:space="preserve"> </w:t>
      </w:r>
      <w:r>
        <w:rPr>
          <w:rtl/>
        </w:rPr>
        <w:t xml:space="preserve">رجوع شود به نوشته بيژن حزنی «نبرد با ديکتاتوری شاه به‌مثابه عمده‌ترين دشمن خلق و ژاندارم امپرياليسم». </w:t>
      </w:r>
    </w:p>
  </w:footnote>
  <w:footnote w:id="15">
    <w:p>
      <w:pPr>
        <w:pStyle w:val="FootnoteText"/>
        <w:bidi/>
      </w:pPr>
      <w:r>
        <w:rPr>
          <w:rStyle w:val="FootnoteReference"/>
        </w:rPr>
        <w:footnoteRef/>
      </w:r>
      <w:r>
        <w:rPr>
          <w:rtl/>
        </w:rPr>
        <w:t xml:space="preserve"> </w:t>
      </w:r>
      <w:r>
        <w:rPr>
          <w:rtl/>
        </w:rPr>
        <w:t xml:space="preserve">منظور از «آنها»، بعضی از گردانندگان «کار» است که در آن‌موقع جديداً سازمان را اشغال کرده بودند و مواضع خود را رسماً به‌عنوان مواضع سازمان چريکهای فدائی خلق ايران اعلام داشتند. </w:t>
      </w:r>
    </w:p>
  </w:footnote>
  <w:footnote w:id="16">
    <w:p>
      <w:pPr>
        <w:pStyle w:val="FootnoteText"/>
        <w:bidi/>
      </w:pPr>
      <w:r>
        <w:rPr>
          <w:rStyle w:val="FootnoteReference"/>
        </w:rPr>
        <w:footnoteRef/>
      </w:r>
      <w:r>
        <w:rPr>
          <w:rtl/>
        </w:rPr>
        <w:t xml:space="preserve"> </w:t>
      </w:r>
      <w:r>
        <w:rPr>
          <w:rtl/>
        </w:rPr>
        <w:t xml:space="preserve">رجوع شود به «نبرد با ديکتاتوری شاه به‌مثابه عمده‌ترين دشمن خلق و ژاندارم امپرياليسم». </w:t>
      </w:r>
    </w:p>
  </w:footnote>
  <w:footnote w:id="17">
    <w:p>
      <w:pPr>
        <w:pStyle w:val="FootnoteText"/>
        <w:bidi/>
      </w:pPr>
      <w:r>
        <w:rPr>
          <w:rStyle w:val="FootnoteReference"/>
        </w:rPr>
        <w:footnoteRef/>
      </w:r>
      <w:r>
        <w:rPr>
          <w:rtl/>
        </w:rPr>
        <w:t xml:space="preserve"> </w:t>
      </w:r>
      <w:r>
        <w:rPr>
          <w:rtl/>
        </w:rPr>
        <w:t xml:space="preserve">اين نظر، درست در مقابل نظر رفيق مسعود قرار دارد که «پايه‌های تسلط سياسی فئوداليسم با انقلاب مشروطه سست شد و با کودتای رضاخان، فئوداليسم قدرت سياسی خود را اساساً به امپرياليسم تفويض کرد. منافع اقتصادی فئودالها را تنها قدرت مرکزی حمايت‌شده و هدايت‌شده از جانب امپرياليسم می‌توانست حفظ کند.» </w:t>
      </w:r>
    </w:p>
  </w:footnote>
  <w:footnote w:id="18">
    <w:p>
      <w:pPr>
        <w:pStyle w:val="FootnoteText"/>
        <w:bidi/>
      </w:pPr>
      <w:r>
        <w:rPr>
          <w:rStyle w:val="FootnoteReference"/>
        </w:rPr>
        <w:footnoteRef/>
      </w:r>
      <w:r>
        <w:rPr>
          <w:rtl/>
        </w:rPr>
        <w:t xml:space="preserve"> </w:t>
      </w:r>
      <w:r>
        <w:rPr>
          <w:rtl/>
        </w:rPr>
        <w:t xml:space="preserve">رجوع شود به «نبرد با ديکتاتوری شاه به‌مثابه عمده‌ترين دشمن خلق و ژاندارم امپرياليسم». </w:t>
      </w:r>
    </w:p>
  </w:footnote>
  <w:footnote w:id="19">
    <w:p>
      <w:pPr>
        <w:pStyle w:val="FootnoteText"/>
        <w:bidi/>
      </w:pPr>
      <w:r>
        <w:rPr>
          <w:rStyle w:val="FootnoteReference"/>
        </w:rPr>
        <w:footnoteRef/>
      </w:r>
      <w:r>
        <w:rPr>
          <w:rtl/>
        </w:rPr>
        <w:t xml:space="preserve"> </w:t>
      </w:r>
      <w:r>
        <w:rPr>
          <w:rtl/>
        </w:rPr>
        <w:t xml:space="preserve">از مبارزات حق‌طلبانه خلق کرد، به عنوان بحران نام بردن، زبان ژورناليستهای غربی و مبلغين رسمی ايدئولوژی امپرياليستی است، نه زبان کسانی که خود را مارکسيست-لنينيست می‌نامند. </w:t>
      </w:r>
    </w:p>
  </w:footnote>
  <w:footnote w:id="20">
    <w:p>
      <w:pPr>
        <w:pStyle w:val="FootnoteText"/>
        <w:bidi/>
      </w:pPr>
      <w:r>
        <w:rPr>
          <w:rStyle w:val="FootnoteReference"/>
        </w:rPr>
        <w:footnoteRef/>
      </w:r>
      <w:r>
        <w:rPr>
          <w:rtl/>
        </w:rPr>
        <w:t xml:space="preserve"> </w:t>
      </w:r>
      <w:r>
        <w:rPr>
          <w:rtl/>
        </w:rPr>
        <w:t xml:space="preserve">در واقعيت، نه امپرياليسم آمريکا و نه متحدان داخليش نيروهای موهوم نيستند. تمام فجايعی که امروز در ايران صورت می‌گيرد توطئه‌ها و برنامه‌های ضدخلقی امپرياليسم آمريکا و متحدان داخليش می‌باشد. ولـی «کار» که نه حکومت و نه هيچيک از احزاب، مؤسسات و… ضدخلقی را متحدان داخلـی امپرياليسم و نمايندگان او محسوب نمی‌کند و نيروی مشخص متشکلـی را نيز به‌عنوان متحدان و نمايندگان امپرياليسم معرفی نمی‌کند. پس به‌خودی‌خود عبارت فوق موهوم از آب در‌می‌آيد، مگر اينکه با توجه به ضديت شديد «کار» با نيروهای انقلابی، تصور کنيم منظور «کار» از متحدان داخلـی امپرياليسم همان نيروهای انقلابی‌ است! البته «کار» يک‌بار و فقط يک‌بار يکی از اين متحدان امپرياليسم را نام برده است و آنهم حزب جمهوری خلق مسلمان است، ولـی همه می‌دانند که اين بيان صريح نيز تنها در شرايط شدت‌‌يابی تضادهای اين حزب با حزب جمهوری اسلامی و به دليل همراهی با حاکميت صورت گرفت و نشانه ديگری از آلت دست قرار گرفتن جريان کار به‌وسيله حکومت تلقی می‌شود. </w:t>
      </w:r>
    </w:p>
  </w:footnote>
  <w:footnote w:id="21">
    <w:p>
      <w:pPr>
        <w:pStyle w:val="FootnoteText"/>
        <w:bidi/>
      </w:pPr>
      <w:r>
        <w:rPr>
          <w:rStyle w:val="FootnoteReference"/>
        </w:rPr>
        <w:footnoteRef/>
      </w:r>
      <w:r>
        <w:rPr>
          <w:rtl/>
        </w:rPr>
        <w:t xml:space="preserve"> </w:t>
      </w:r>
      <w:r>
        <w:rPr>
          <w:rtl/>
        </w:rPr>
        <w:t xml:space="preserve">«کار» اکنون از کارگران خواسته است بهره‌وری توليد را (در کارخانجات وابسته به امپرياليسم) افزايش دهند و بی‌شک اين کار نيک را از آنرو می‌کند که با تحقق اين امر توان حکومت افزايش يابد و بيان اينکه افزايش توليد در واحدهائی که دارای شورا می‌باشد صورت بگيرد، فرقی در ماهيت بورژوائی اين رهنمود نمی‌دهد. </w:t>
      </w:r>
    </w:p>
  </w:footnote>
  <w:footnote w:id="22">
    <w:p>
      <w:pPr>
        <w:pStyle w:val="FootnoteText"/>
        <w:bidi/>
      </w:pPr>
      <w:r>
        <w:rPr>
          <w:rStyle w:val="FootnoteReference"/>
        </w:rPr>
        <w:footnoteRef/>
      </w:r>
      <w:r>
        <w:rPr>
          <w:rtl/>
        </w:rPr>
        <w:t xml:space="preserve"> </w:t>
      </w:r>
      <w:r>
        <w:rPr>
          <w:rtl/>
        </w:rPr>
        <w:t xml:space="preserve">گردانندگان «کار» بنا به اومانيسم خود که اتفاقاً پدران آنها، يعنی سران حزب توده نيز بسيار از آن برخوردار بودند، راه تحت سلطه نگاهداشتن خلق را از طريق سرکوب، غلط می‌دانند و به همين دليل از «سياست نادرست حکومت» و «خشونتهای !! خونبار آن» شکوه دارند. بی‌جهت نيست با وجودی که حزب جمهوری اسلامی را حزب خرده‌بورژوازی سنتی می‌دانند، در تضاد بين اين حزب و بنی‌صدر (تاکنون او گويا جزو ليبرالهاست، مگر اينکه فردا در تحليلهای «کار» نماينده خرده‌بورژوازی راديکال بيان شود)، جانب رئيس‌جمهور را می‌گيرند و از او به‌عنوان مردی که از «تجربه و آگاهی سياسی تاريخی برخوردار است» («کار» ۵۹) نام می‌برند. بنی‌صدر نشان داده است که با تمام «قاطعيتش» در مقابل خلق به راههای مسالـمت‌آميز تحت سلطه نگاهداشتن خلق بيشتر از ديگران فکر می‌کند و بنا به توصيه «کار»، کمونيستها بايد از آن «استقبال» نمايند. </w:t>
      </w:r>
    </w:p>
  </w:footnote>
  <w:footnote w:id="23">
    <w:p>
      <w:pPr>
        <w:pStyle w:val="FootnoteText"/>
        <w:bidi/>
      </w:pPr>
      <w:r>
        <w:rPr>
          <w:rStyle w:val="FootnoteReference"/>
        </w:rPr>
        <w:footnoteRef/>
      </w:r>
      <w:r>
        <w:rPr>
          <w:rtl/>
        </w:rPr>
        <w:t xml:space="preserve"> </w:t>
      </w:r>
      <w:r>
        <w:rPr>
          <w:rtl/>
        </w:rPr>
        <w:t xml:space="preserve">بايد توجه داشت وقتی توده‌ها از انقلابی ديگر سخن می‌گويند، منظور مبارزه قاطع برای سرنگونی حاکميت موجود و تحقق بخشيدن به اهداف و خواستهائی است که مبارزات دوساله اخير و قيام بهمن ماه نتوانستند به آن تحقق بخشند.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مبارزه ضد‌امپریالیستی و جریان «کار»!</dc:title>
  <dc:creator/>
  <dc:language>fa</dc:language>
  <cp:keywords/>
  <dcterms:created xsi:type="dcterms:W3CDTF">2026-06-20T20:40:38Z</dcterms:created>
  <dcterms:modified xsi:type="dcterms:W3CDTF">2026-06-20T20:40:38Z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