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منظور اعلامیه‌ایست که اپورتونیستهای رخنه کرده در سازمان چریکهای فدائی خلق در سال ۵۶ منتشر ساختند. آنها در این اعلامیه خط مشی سازمان را «ملغی» اعلام کرده و نظرات رفیق شهید جزنی را بجای آن نشاندند. </w:t>
      </w:r>
    </w:p>
  </w:footnote>
  <w:footnote w:id="12">
    <w:p>
      <w:pPr>
        <w:pStyle w:val="FootnoteText"/>
        <w:bidi/>
      </w:pPr>
      <w:r>
        <w:rPr>
          <w:rStyle w:val="FootnoteReference"/>
        </w:rPr>
        <w:footnoteRef/>
      </w:r>
      <w:r>
        <w:rPr>
          <w:rtl/>
        </w:rPr>
        <w:t xml:space="preserve"> </w:t>
      </w:r>
      <w:r>
        <w:rPr>
          <w:rtl/>
        </w:rPr>
        <w:t xml:space="preserve">این اتّحاد بورژوازی غرب با فئودالیسم کشورهای مستعمره و نیمه مستعمره باعث چنان سر‌درگمی شده است که حتّی بعضی از تئوریسینهای مارکسیست در تحلیل آن دچار رویزیونیسم شده‌اند و گمان کرده‌اند که چنین اتحادی با این اصل مارکسیستی که: «بورژوازی به هر جا قدم گذارد منافعش ایجاب می‌کند که روابط بورژوائی را برقرار نماید»، مغایرت دارد. در حالیکه تحلیل تاریخی به ما نشان می‌دهد: استعمارگری که از سرِ لاعلاجی با فئودالیسم متحد می‌شود همواره متوجه مغایرت این شیوه تولید با منافع خود می‌باشد. </w:t>
      </w:r>
    </w:p>
  </w:footnote>
  <w:footnote w:id="13">
    <w:p>
      <w:pPr>
        <w:pStyle w:val="FootnoteText"/>
        <w:bidi/>
      </w:pPr>
      <w:r>
        <w:rPr>
          <w:rStyle w:val="FootnoteReference"/>
        </w:rPr>
        <w:footnoteRef/>
      </w:r>
      <w:r>
        <w:rPr>
          <w:rtl/>
        </w:rPr>
        <w:t xml:space="preserve"> </w:t>
      </w:r>
      <w:r>
        <w:rPr>
          <w:rtl/>
        </w:rPr>
        <w:t xml:space="preserve">البتّه اصلاحات ارضی تضادّ کمرنگی که بین فئودالیسم و بورژوازی کمپرادور وجود داشت را نیز حلّ کرد ولی این یکی از نتایج فرعی این اصلاحات بود که در یک تحلیل همه جانبه البتّه باید به حساب آید. </w:t>
      </w:r>
    </w:p>
  </w:footnote>
  <w:footnote w:id="14">
    <w:p>
      <w:pPr>
        <w:pStyle w:val="FootnoteText"/>
        <w:bidi/>
      </w:pPr>
      <w:r>
        <w:rPr>
          <w:rStyle w:val="FootnoteReference"/>
        </w:rPr>
        <w:footnoteRef/>
      </w:r>
      <w:r>
        <w:rPr>
          <w:rtl/>
        </w:rPr>
        <w:t xml:space="preserve"> </w:t>
      </w:r>
      <w:r>
        <w:rPr>
          <w:rtl/>
        </w:rPr>
        <w:t xml:space="preserve">امروز دیگر می‌توان بورژوازی ملّی را مرده دانست شاید کسانی که جبهه ملّی را رها کردند و به خدمت روحانیت در آمدند خود نیز این امر را فهمیده باشند. اینها وکلائی هستند که پس از مرگ موکلشان به حیات ادامه دادند. </w:t>
      </w:r>
    </w:p>
  </w:footnote>
  <w:footnote w:id="15">
    <w:p>
      <w:pPr>
        <w:pStyle w:val="FootnoteText"/>
        <w:bidi/>
      </w:pPr>
      <w:r>
        <w:rPr>
          <w:rStyle w:val="FootnoteReference"/>
        </w:rPr>
        <w:footnoteRef/>
      </w:r>
      <w:r>
        <w:rPr>
          <w:rtl/>
        </w:rPr>
        <w:t xml:space="preserve"> </w:t>
      </w:r>
      <w:r>
        <w:rPr>
          <w:rtl/>
        </w:rPr>
        <w:t xml:space="preserve">البتّه ممکن بود مبارزه ضدّ امپریالیستی با رهبری بورژوازی ملّی که به راحتی می‌تواند خرده بورژوازی را بدنبال خود بکشد شروع شود ولی بحث بر سر پیروزی این مبارزه است.</w:t>
      </w:r>
    </w:p>
    <w:p>
      <w:pPr>
        <w:pStyle w:val="FootnoteText"/>
        <w:bidi/>
      </w:pPr>
      <w:r>
        <w:rPr>
          <w:rtl/>
        </w:rPr>
        <w:t xml:space="preserve">در آثار رفیق جزنی مشاهده می‌شود که رفیق هنوز به احتمال برقراری دو نوع دمکراسی در کشورهای وابسته معتقد است که یکی دمکراسی ملّی با رهبری بورژوازی و دیگری دمکراسی خلق با رهبری پرولتاریاست. رفیق به تحلیل امکان پیروزی دمکراسی ملّی نمی‌پردازد و فقط در جائی از سوریه و الجزایر بعنوان نمونه یاد می‌کند، ولی از نظر ما اینگونه دمکراسی‌ها به پیروزی مبارزه ضدّ امپریالیستی یعنی قطعِ قطعی نفوذ امپریالیسم منجر نمی‌شود و خلقهای این کشورها مسلماً انقلاب دیگری در پیش دارند. شاید نازک‌کاری‌های نو استعماری کار تحلیل را کمی مشکل کرده باشد ولی شرایط عینی در این مورد بسیار گویا است. </w:t>
      </w:r>
    </w:p>
  </w:footnote>
  <w:footnote w:id="16">
    <w:p>
      <w:pPr>
        <w:pStyle w:val="FootnoteText"/>
        <w:bidi/>
      </w:pPr>
      <w:r>
        <w:rPr>
          <w:rStyle w:val="FootnoteReference"/>
        </w:rPr>
        <w:footnoteRef/>
      </w:r>
      <w:r>
        <w:rPr>
          <w:rtl/>
        </w:rPr>
        <w:t xml:space="preserve"> </w:t>
      </w:r>
      <w:r>
        <w:rPr>
          <w:rtl/>
        </w:rPr>
        <w:t xml:space="preserve">پس از آنکه مبارزه مسلّحانه آغاز شد و کمابیش تئوریهای مربوط به آن به زندان وارد شد رفیق جزنی بعنوان یک مبارز به حقانیت این تئوری اذعان نمود و ظاهراً آنرا پذیرفت و سعی کرد با توجه به تجربیات خود به غنای هرچه بیشتر این تئوری بپردازد و آنرا بسط و گسترش دهد، ولی متأسفانه به این کار موفّق نشد بطوریکه سیستم نظری‌ای ارائه داد که در مغایرت کامل با تئوری مبارزه مسلّحانه قرار دارد مثلاً یکی دانستن شرایط عینی انقلاب با وضعیت انقلابی تنها در حدّ یک اشتباه نبود در عمل باعث انحرافاتی جدی از مارکسیسم ــ لنینیسم گشت و در شکل دادن به سیستم‌های نظری که با واقعیت ایران انطباق نداشت نقش ایفا کرد. </w:t>
      </w:r>
    </w:p>
  </w:footnote>
  <w:footnote w:id="17">
    <w:p>
      <w:pPr>
        <w:pStyle w:val="FootnoteText"/>
        <w:bidi/>
      </w:pPr>
      <w:r>
        <w:rPr>
          <w:rStyle w:val="FootnoteReference"/>
        </w:rPr>
        <w:footnoteRef/>
      </w:r>
      <w:r>
        <w:rPr>
          <w:rtl/>
        </w:rPr>
        <w:t xml:space="preserve"> </w:t>
      </w:r>
      <w:r>
        <w:rPr>
          <w:rtl/>
        </w:rPr>
        <w:t xml:space="preserve">ما شکست هسته چریکی سیاهکل را یک شکست تاکتیکی می‌دانیم و دلائل آن در آثار سازمانی ما منعکس است. </w:t>
      </w:r>
    </w:p>
  </w:footnote>
  <w:footnote w:id="18">
    <w:p>
      <w:pPr>
        <w:pStyle w:val="FootnoteText"/>
        <w:bidi/>
      </w:pPr>
      <w:r>
        <w:rPr>
          <w:rStyle w:val="FootnoteReference"/>
        </w:rPr>
        <w:footnoteRef/>
      </w:r>
      <w:r>
        <w:rPr>
          <w:rtl/>
        </w:rPr>
        <w:t xml:space="preserve"> </w:t>
      </w:r>
      <w:r>
        <w:rPr>
          <w:rtl/>
        </w:rPr>
        <w:t xml:space="preserve">بنظر ما این یک اصل عامّ است که در شرایط دیکتاتوریِ بورژوازی کمپرادور تشکیل سازمان صرفاً سیاسی، به هر صورتی از طرف مارکسیستها، فقط بمعنای آماده کردن قربانیانی برای مسلخ دیکتاتوری است. در شرایطی که نهادهای دمکراتیک بهیچوجه موجود نیست و حداکثر نوعی هرج و مرج موجود است نمی‌توان شکل سیاسی ــ نظامی سازمان را بهم زد. اگر امروز ما می‌توانیم در معادله‌های سیاسی بحساب آئیم، صرفاً به این جهت است که سازمانی سیاسی ــ نظامی بوده و هستیم و برای آنکه به حساب آئیم باید این سازمان را حفظ کنیم. در شرایط ایران فقط در مناطق آزاد شده می‌توان سازمانهائی صرفاً سیاسی بوجود آورد و به بقای آنها اطمینان داشت. </w:t>
      </w:r>
    </w:p>
  </w:footnote>
  <w:footnote w:id="19">
    <w:p>
      <w:pPr>
        <w:pStyle w:val="FootnoteText"/>
        <w:bidi/>
      </w:pPr>
      <w:r>
        <w:rPr>
          <w:rStyle w:val="FootnoteReference"/>
        </w:rPr>
        <w:footnoteRef/>
      </w:r>
      <w:r>
        <w:rPr>
          <w:rtl/>
        </w:rPr>
        <w:t xml:space="preserve"> </w:t>
      </w:r>
      <w:r>
        <w:rPr>
          <w:rtl/>
        </w:rPr>
        <w:t xml:space="preserve">این درکی است که جزنی ارائه می‌دهد.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شمائی از پروسه مبارزه ایدئولوژیک در گروه چریکهای فدائی خلق</dc:title>
  <dc:creator/>
  <dc:language>fa</dc:language>
  <cp:keywords/>
  <dcterms:created xsi:type="dcterms:W3CDTF">2026-06-20T20:40:36Z</dcterms:created>
  <dcterms:modified xsi:type="dcterms:W3CDTF">2026-06-20T20:40:36Z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